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001-41706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SunCar Technology Group Inc.</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Shanghai Feiyou Trading Co.,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Suite 209, No. 656 Lingshi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Jing’an District, Shanghai, 200072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Tel: (86) 138-1779-6110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SunCar Technology Group Inc. (the “Company”) furnishes under the cover of Form 6-K the following:</w:t>
            </w:r>
          </w:p>
        </w:tc>
        <w:tc>
          <w:tcPr>
            <w:tcW w:w="112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54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SUNCAR TECHNOLOGY GROUP INC</w:t>
            </w:r>
          </w:p>
        </w:tc>
        <w:tc>
          <w:tcPr>
            <w:tcW w:w="11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160" w:type="dxa"/>
            <w:vAlign w:val="bottom"/>
            <w:gridSpan w:val="8"/>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20" w:type="dxa"/>
            <w:vAlign w:val="bottom"/>
          </w:tcPr>
          <w:p>
            <w:pPr>
              <w:spacing w:after="0"/>
              <w:rPr>
                <w:sz w:val="20"/>
                <w:szCs w:val="20"/>
                <w:color w:val="auto"/>
              </w:rPr>
            </w:pPr>
          </w:p>
        </w:tc>
      </w:tr>
      <w:tr>
        <w:trPr>
          <w:trHeight w:val="439"/>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9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DECEMBER 31, 2024 AND JUNE 30, 2025 (UNAUDITED)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98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SIX</w:t>
            </w:r>
          </w:p>
        </w:tc>
        <w:tc>
          <w:tcPr>
            <w:tcW w:w="300" w:type="dxa"/>
            <w:vAlign w:val="bottom"/>
            <w:tcBorders>
              <w:bottom w:val="single" w:sz="8" w:color="CCEEFF"/>
            </w:tcBorders>
            <w:gridSpan w:val="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9960" w:type="dxa"/>
            <w:vAlign w:val="bottom"/>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30, 2024 AND 2025</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SHAREHOLDERS’ EQUITY FOR THE SIX</w:t>
            </w:r>
          </w:p>
        </w:tc>
        <w:tc>
          <w:tcPr>
            <w:tcW w:w="1120" w:type="dxa"/>
            <w:vAlign w:val="bottom"/>
            <w:shd w:val="clear" w:color="auto" w:fill="CCEEFF"/>
          </w:tcPr>
          <w:p>
            <w:pPr>
              <w:spacing w:after="0"/>
              <w:rPr>
                <w:sz w:val="15"/>
                <w:szCs w:val="15"/>
                <w:color w:val="auto"/>
              </w:rPr>
            </w:pPr>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9400" w:type="dxa"/>
            <w:vAlign w:val="bottom"/>
            <w:tcBorders>
              <w:top w:val="single" w:sz="8" w:color="0000EE"/>
            </w:tcBorders>
            <w:gridSpan w:val="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30, 2024 AND 2025</w:t>
            </w:r>
          </w:p>
        </w:tc>
        <w:tc>
          <w:tcPr>
            <w:tcW w:w="560" w:type="dxa"/>
            <w:vAlign w:val="bottom"/>
            <w:tcBorders>
              <w:top w:val="single" w:sz="8" w:color="CCEEFF"/>
            </w:tcBorders>
            <w:gridSpan w:val="4"/>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 30, 2024</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9960" w:type="dxa"/>
            <w:vAlign w:val="bottom"/>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7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340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655"/>
        </w:trPr>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7"/>
          </w:tcPr>
          <w:p>
            <w:pPr>
              <w:jc w:val="center"/>
              <w:ind w:right="246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 w:name="page3"/>
    <w:bookmarkEnd w:id="2"/>
    <w:p>
      <w:pPr>
        <w:jc w:val="center"/>
        <w:ind w:left="2460" w:right="960"/>
        <w:spacing w:after="0" w:line="268" w:lineRule="auto"/>
        <w:rPr>
          <w:sz w:val="20"/>
          <w:szCs w:val="20"/>
          <w:color w:val="auto"/>
        </w:rPr>
      </w:pPr>
      <w:r>
        <w:rPr>
          <w:rFonts w:ascii="Times New Roman" w:cs="Times New Roman" w:eastAsia="Times New Roman" w:hAnsi="Times New Roman"/>
          <w:sz w:val="18"/>
          <w:szCs w:val="18"/>
          <w:b w:val="1"/>
          <w:bCs w:val="1"/>
          <w:color w:val="auto"/>
        </w:rPr>
        <w:t>SUNCAR TECHNOLOGY GROUP INC CONDENSED CONSOLIDATED BALANCE SHEETS (UNAUDITED) (In U.S. Dollar thousands, except for share and per share data, or otherwise noted)</w:t>
      </w:r>
    </w:p>
    <w:p>
      <w:pPr>
        <w:spacing w:after="0" w:line="103"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1"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720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22860</wp:posOffset>
            </wp:positionV>
            <wp:extent cx="7029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760" w:space="500"/>
            <w:col w:w="980"/>
          </w:cols>
          <w:pgMar w:left="320" w:top="779" w:right="339" w:bottom="595"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75,605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97,616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70,171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77,363</w:t>
            </w:r>
          </w:p>
        </w:tc>
      </w:tr>
      <w:tr>
        <w:trPr>
          <w:trHeight w:val="237"/>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196,273</w:t>
            </w:r>
          </w:p>
        </w:tc>
        <w:tc>
          <w:tcPr>
            <w:tcW w:w="22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223,377</w:t>
            </w:r>
          </w:p>
        </w:tc>
        <w:tc>
          <w:tcPr>
            <w:tcW w:w="100" w:type="dxa"/>
            <w:vAlign w:val="bottom"/>
            <w:tcBorders>
              <w:top w:val="single" w:sz="8" w:color="CCEEFF"/>
              <w:bottom w:val="single" w:sz="8" w:color="CCEEFF"/>
            </w:tcBorders>
          </w:tcPr>
          <w:p>
            <w:pPr>
              <w:spacing w:after="0"/>
              <w:rPr>
                <w:sz w:val="20"/>
                <w:szCs w:val="20"/>
                <w:color w:val="auto"/>
              </w:rPr>
            </w:pPr>
          </w:p>
        </w:tc>
      </w:tr>
      <w:tr>
        <w:trPr>
          <w:trHeight w:val="122"/>
        </w:trPr>
        <w:tc>
          <w:tcPr>
            <w:tcW w:w="8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software and equipment, net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50,455</w:t>
            </w:r>
          </w:p>
        </w:tc>
        <w:tc>
          <w:tcPr>
            <w:tcW w:w="2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54,152</w:t>
            </w:r>
          </w:p>
        </w:tc>
        <w:tc>
          <w:tcPr>
            <w:tcW w:w="100" w:type="dxa"/>
            <w:vAlign w:val="bottom"/>
            <w:tcBorders>
              <w:top w:val="single" w:sz="8" w:color="CCEEFF"/>
              <w:bottom w:val="single" w:sz="8" w:color="CCEEFF"/>
            </w:tcBorders>
          </w:tcPr>
          <w:p>
            <w:pPr>
              <w:spacing w:after="0"/>
              <w:rPr>
                <w:sz w:val="24"/>
                <w:szCs w:val="24"/>
                <w:color w:val="auto"/>
              </w:rPr>
            </w:pPr>
          </w:p>
        </w:tc>
      </w:tr>
      <w:tr>
        <w:trPr>
          <w:trHeight w:val="122"/>
        </w:trPr>
        <w:tc>
          <w:tcPr>
            <w:tcW w:w="8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246,728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277,529</w:t>
            </w:r>
          </w:p>
        </w:tc>
      </w:tr>
      <w:tr>
        <w:trPr>
          <w:trHeight w:val="122"/>
        </w:trPr>
        <w:tc>
          <w:tcPr>
            <w:tcW w:w="86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 current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156,765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21"/>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 non-current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23,729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48"/>
        </w:trPr>
        <w:tc>
          <w:tcPr>
            <w:tcW w:w="8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180,494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191,383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21"/>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21"/>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US$0.0001 per share; 400,000,000 Class A Ordinary shares authorized as of</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June 30, 2025, respectively; 51,845,493 and 51,645,493 Class A Ordinary shares issued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2024, respectively; 59,208,351 and 55,569,794 Class A Ordinary shares issued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June 30, 2025, respectively)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US$0.0001 per share; 100,000,000 Class B December 31, 2024 and June 30,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 46,659,565 and 46,439,565 Class B Ordinary shares issued and outstanding as of December 31,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June 30, 2025, respectively)</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208,701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(195,387)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(202,781)</w:t>
            </w: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SUNCAR TECHNOLOGY GROUP INC’s shareholders’ equity</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54,342</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56,795</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66,234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21"/>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SHARESHOLDERS’ EQUITY</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246,728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277,529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38"/>
        </w:trPr>
        <w:tc>
          <w:tcPr>
            <w:tcW w:w="100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F-2</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59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for share and per share data, or otherwise noted)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97,833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24,345</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107,451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100,131</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203,086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222,309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(71,135)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(40,537)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(32,205)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(261,697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(223,502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income/(expenses),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attributable to the Company’s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(58,611)</w:t>
      </w:r>
      <w:r>
        <w:rPr>
          <w:sz w:val="20"/>
          <w:szCs w:val="20"/>
          <w:color w:val="auto"/>
        </w:rPr>
        <w:tab/>
      </w:r>
      <w:r>
        <w:rPr>
          <w:rFonts w:ascii="Times New Roman" w:cs="Times New Roman" w:eastAsia="Times New Roman" w:hAnsi="Times New Roman"/>
          <w:sz w:val="18"/>
          <w:szCs w:val="18"/>
          <w:b w:val="1"/>
          <w:bCs w:val="1"/>
          <w:color w:val="auto"/>
        </w:rPr>
        <w:t>(1,193)</w:t>
      </w:r>
    </w:p>
    <w:p>
      <w:pPr>
        <w:spacing w:after="0" w:line="200" w:lineRule="exact"/>
        <w:rPr>
          <w:sz w:val="20"/>
          <w:szCs w:val="20"/>
          <w:color w:val="auto"/>
        </w:rPr>
      </w:pPr>
    </w:p>
    <w:p>
      <w:pPr>
        <w:spacing w:after="0" w:line="223"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color w:val="auto"/>
        </w:rPr>
        <w:t>(2,302)</w:t>
      </w:r>
      <w:r>
        <w:rPr>
          <w:sz w:val="20"/>
          <w:szCs w:val="20"/>
          <w:color w:val="auto"/>
        </w:rPr>
        <w:tab/>
      </w:r>
      <w:r>
        <w:rPr>
          <w:rFonts w:ascii="Times New Roman" w:cs="Times New Roman" w:eastAsia="Times New Roman" w:hAnsi="Times New Roman"/>
          <w:sz w:val="18"/>
          <w:szCs w:val="18"/>
          <w:color w:val="auto"/>
        </w:rPr>
        <w:t>(2,077)</w:t>
      </w:r>
    </w:p>
    <w:p>
      <w:pPr>
        <w:spacing w:after="0" w:line="27" w:lineRule="exact"/>
        <w:rPr>
          <w:sz w:val="20"/>
          <w:szCs w:val="20"/>
          <w:color w:val="auto"/>
        </w:rPr>
      </w:pPr>
    </w:p>
    <w:p>
      <w:pPr>
        <w:ind w:left="1600" w:hanging="1321"/>
        <w:spacing w:after="0"/>
        <w:tabs>
          <w:tab w:leader="none" w:pos="1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w:t>
      </w:r>
    </w:p>
    <w:p>
      <w:pPr>
        <w:spacing w:after="0" w:line="9" w:lineRule="exact"/>
        <w:rPr>
          <w:rFonts w:ascii="Times New Roman" w:cs="Times New Roman" w:eastAsia="Times New Roman" w:hAnsi="Times New Roman"/>
          <w:sz w:val="18"/>
          <w:szCs w:val="18"/>
          <w:color w:val="auto"/>
        </w:rPr>
      </w:pPr>
    </w:p>
    <w:p>
      <w:pPr>
        <w:ind w:left="1400" w:hanging="1121"/>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(2,220)</w:t>
      </w:r>
    </w:p>
    <w:p>
      <w:pPr>
        <w:spacing w:after="0" w:line="27"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(1,262)</w:t>
      </w:r>
      <w:r>
        <w:rPr>
          <w:sz w:val="20"/>
          <w:szCs w:val="20"/>
          <w:color w:val="auto"/>
        </w:rPr>
        <w:tab/>
      </w:r>
      <w:r>
        <w:rPr>
          <w:rFonts w:ascii="Times New Roman" w:cs="Times New Roman" w:eastAsia="Times New Roman" w:hAnsi="Times New Roman"/>
          <w:sz w:val="18"/>
          <w:szCs w:val="18"/>
          <w:b w:val="1"/>
          <w:bCs w:val="1"/>
          <w:color w:val="auto"/>
        </w:rPr>
        <w:t>(4,051)</w:t>
      </w:r>
    </w:p>
    <w:p>
      <w:pPr>
        <w:spacing w:after="0" w:line="22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(59,873)</w:t>
      </w:r>
      <w:r>
        <w:rPr>
          <w:sz w:val="20"/>
          <w:szCs w:val="20"/>
          <w:color w:val="auto"/>
        </w:rPr>
        <w:tab/>
      </w:r>
      <w:r>
        <w:rPr>
          <w:rFonts w:ascii="Times New Roman" w:cs="Times New Roman" w:eastAsia="Times New Roman" w:hAnsi="Times New Roman"/>
          <w:sz w:val="18"/>
          <w:szCs w:val="18"/>
          <w:color w:val="auto"/>
        </w:rPr>
        <w:t>(5,244)</w:t>
      </w:r>
    </w:p>
    <w:p>
      <w:pPr>
        <w:spacing w:after="0" w:line="27" w:lineRule="exact"/>
        <w:rPr>
          <w:sz w:val="20"/>
          <w:szCs w:val="20"/>
          <w:color w:val="auto"/>
        </w:rPr>
      </w:pPr>
    </w:p>
    <w:p>
      <w:pPr>
        <w:jc w:val="right"/>
        <w:ind w:right="40"/>
        <w:spacing w:after="0"/>
        <w:tabs>
          <w:tab w:leader="none" w:pos="380" w:val="left"/>
        </w:tabs>
        <w:rPr>
          <w:sz w:val="20"/>
          <w:szCs w:val="20"/>
          <w:color w:val="auto"/>
        </w:rPr>
      </w:pPr>
      <w:r>
        <w:rPr>
          <w:rFonts w:ascii="Times New Roman" w:cs="Times New Roman" w:eastAsia="Times New Roman" w:hAnsi="Times New Roman"/>
          <w:sz w:val="18"/>
          <w:szCs w:val="18"/>
          <w:color w:val="auto"/>
        </w:rPr>
        <w:t>(267)</w:t>
      </w:r>
      <w:r>
        <w:rPr>
          <w:sz w:val="20"/>
          <w:szCs w:val="20"/>
          <w:color w:val="auto"/>
        </w:rPr>
        <w:tab/>
      </w:r>
      <w:r>
        <w:rPr>
          <w:rFonts w:ascii="Times New Roman" w:cs="Times New Roman" w:eastAsia="Times New Roman" w:hAnsi="Times New Roman"/>
          <w:sz w:val="18"/>
          <w:szCs w:val="18"/>
          <w:color w:val="auto"/>
        </w:rPr>
        <w:t>(291)</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(60,140)</w:t>
      </w:r>
      <w:r>
        <w:rPr>
          <w:sz w:val="20"/>
          <w:szCs w:val="20"/>
          <w:color w:val="auto"/>
        </w:rPr>
        <w:tab/>
      </w:r>
      <w:r>
        <w:rPr>
          <w:rFonts w:ascii="Times New Roman" w:cs="Times New Roman" w:eastAsia="Times New Roman" w:hAnsi="Times New Roman"/>
          <w:sz w:val="18"/>
          <w:szCs w:val="18"/>
          <w:b w:val="1"/>
          <w:bCs w:val="1"/>
          <w:color w:val="auto"/>
        </w:rPr>
        <w:t>(5,535)</w:t>
      </w:r>
    </w:p>
    <w:p>
      <w:pPr>
        <w:spacing w:after="0" w:line="243"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2,443</w:t>
      </w:r>
      <w:r>
        <w:rPr>
          <w:sz w:val="20"/>
          <w:szCs w:val="20"/>
          <w:color w:val="auto"/>
        </w:rPr>
        <w:tab/>
      </w:r>
      <w:r>
        <w:rPr>
          <w:rFonts w:ascii="Times New Roman" w:cs="Times New Roman" w:eastAsia="Times New Roman" w:hAnsi="Times New Roman"/>
          <w:sz w:val="18"/>
          <w:szCs w:val="18"/>
          <w:color w:val="auto"/>
        </w:rPr>
        <w:t>1,859</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(62,583</w:t>
      </w:r>
      <w:r>
        <w:rPr>
          <w:rFonts w:ascii="Times New Roman" w:cs="Times New Roman" w:eastAsia="Times New Roman" w:hAnsi="Times New Roman"/>
          <w:sz w:val="35"/>
          <w:szCs w:val="35"/>
          <w:b w:val="1"/>
          <w:bCs w:val="1"/>
          <w:color w:val="auto"/>
          <w:vertAlign w:val="superscript"/>
        </w:rPr>
        <w:t>)</w:t>
      </w:r>
      <w:r>
        <w:rPr>
          <w:sz w:val="20"/>
          <w:szCs w:val="20"/>
          <w:color w:val="auto"/>
        </w:rPr>
        <w:tab/>
      </w:r>
      <w:r>
        <w:rPr>
          <w:rFonts w:ascii="Times New Roman" w:cs="Times New Roman" w:eastAsia="Times New Roman" w:hAnsi="Times New Roman"/>
          <w:sz w:val="17"/>
          <w:szCs w:val="17"/>
          <w:b w:val="1"/>
          <w:bCs w:val="1"/>
          <w:color w:val="auto"/>
        </w:rPr>
        <w:t>(7,394</w:t>
      </w:r>
      <w:r>
        <w:rPr>
          <w:rFonts w:ascii="Times New Roman" w:cs="Times New Roman" w:eastAsia="Times New Roman" w:hAnsi="Times New Roman"/>
          <w:sz w:val="33"/>
          <w:szCs w:val="3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-57785</wp:posOffset>
            </wp:positionV>
            <wp:extent cx="1560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8540" w:space="720"/>
            <w:col w:w="19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(0.67</w:t>
            </w:r>
            <w:r>
              <w:rPr>
                <w:rFonts w:ascii="Times New Roman" w:cs="Times New Roman" w:eastAsia="Times New Roman" w:hAnsi="Times New Roman"/>
                <w:sz w:val="29"/>
                <w:szCs w:val="29"/>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(0.07</w:t>
            </w:r>
            <w:r>
              <w:rPr>
                <w:rFonts w:ascii="Times New Roman" w:cs="Times New Roman" w:eastAsia="Times New Roman" w:hAnsi="Times New Roman"/>
                <w:sz w:val="29"/>
                <w:szCs w:val="29"/>
                <w:color w:val="auto"/>
                <w:vertAlign w:val="superscript"/>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calculating basic and diluted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93,663,300</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102,155,588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(1,195</w:t>
            </w:r>
            <w:r>
              <w:rPr>
                <w:rFonts w:ascii="Times New Roman" w:cs="Times New Roman" w:eastAsia="Times New Roman" w:hAnsi="Times New Roman"/>
                <w:sz w:val="29"/>
                <w:szCs w:val="29"/>
                <w:color w:val="auto"/>
                <w:vertAlign w:val="superscript"/>
              </w:rPr>
              <w:t>)</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(61,335)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(4,487)</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total comprehensive income attributable to non-controlling interest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3,004</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the SUNCAR TECHNOLOGY GROUP INC’s shareholders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for share and per share data, or otherwise noted)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SunCar</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8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760" w:type="dxa"/>
            <w:vAlign w:val="bottom"/>
            <w:gridSpan w:val="2"/>
            <w:vMerge w:val="continue"/>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4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Group Inc’s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2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800" w:type="dxa"/>
            <w:vAlign w:val="bottom"/>
            <w:tcBorders>
              <w:top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5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780" w:type="dxa"/>
            <w:vAlign w:val="bottom"/>
            <w:gridSpan w:val="2"/>
          </w:tcPr>
          <w:p>
            <w:pPr>
              <w:jc w:val="right"/>
              <w:ind w:right="285"/>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7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3"/>
                <w:szCs w:val="13"/>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0"/>
        </w:trPr>
        <w:tc>
          <w:tcPr>
            <w:tcW w:w="132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800" w:type="dxa"/>
            <w:vAlign w:val="bottom"/>
            <w:tcBorders>
              <w:top w:val="single" w:sz="8" w:color="auto"/>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40,076,493</w:t>
            </w:r>
          </w:p>
        </w:tc>
        <w:tc>
          <w:tcPr>
            <w:tcW w:w="46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49,628,565</w:t>
            </w:r>
          </w:p>
        </w:tc>
        <w:tc>
          <w:tcPr>
            <w:tcW w:w="460" w:type="dxa"/>
            <w:vAlign w:val="bottom"/>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144,160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(126,724</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16,078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51,912</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67,990</w:t>
            </w:r>
          </w:p>
        </w:tc>
        <w:tc>
          <w:tcPr>
            <w:tcW w:w="0" w:type="dxa"/>
            <w:vAlign w:val="bottom"/>
          </w:tcPr>
          <w:p>
            <w:pPr>
              <w:spacing w:after="0"/>
              <w:rPr>
                <w:sz w:val="1"/>
                <w:szCs w:val="1"/>
                <w:color w:val="auto"/>
              </w:rPr>
            </w:pPr>
          </w:p>
        </w:tc>
      </w:tr>
      <w:tr>
        <w:trPr>
          <w:trHeight w:val="71"/>
        </w:trPr>
        <w:tc>
          <w:tcPr>
            <w:tcW w:w="1320" w:type="dxa"/>
            <w:vAlign w:val="bottom"/>
            <w:shd w:val="clear" w:color="auto" w:fill="CCEEFF"/>
          </w:tcPr>
          <w:p>
            <w:pPr>
              <w:spacing w:after="0"/>
              <w:rPr>
                <w:sz w:val="6"/>
                <w:szCs w:val="6"/>
                <w:color w:val="auto"/>
              </w:rPr>
            </w:pPr>
          </w:p>
        </w:tc>
        <w:tc>
          <w:tcPr>
            <w:tcW w:w="800" w:type="dxa"/>
            <w:vAlign w:val="bottom"/>
            <w:tcBorders>
              <w:right w:val="single" w:sz="8" w:color="CCEEFF"/>
            </w:tcBorders>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820" w:type="dxa"/>
            <w:vAlign w:val="bottom"/>
            <w:tcBorders>
              <w:right w:val="single" w:sz="8" w:color="CCEEFF"/>
            </w:tcBorders>
            <w:gridSpan w:val="2"/>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tcBorders>
              <w:right w:val="single" w:sz="8" w:color="CCEEFF"/>
            </w:tcBorders>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tcBorders>
              <w:right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320" w:type="dxa"/>
            <w:vAlign w:val="bottom"/>
            <w:tcBorders>
              <w:top w:val="single" w:sz="8" w:color="CCEEFF"/>
              <w:bottom w:val="single" w:sz="8" w:color="CCEEFF"/>
            </w:tcBorders>
            <w:shd w:val="clear" w:color="auto" w:fill="CCEEFF"/>
          </w:tcPr>
          <w:p>
            <w:pPr>
              <w:ind w:left="180"/>
              <w:spacing w:after="0" w:line="27" w:lineRule="exact"/>
              <w:rPr>
                <w:sz w:val="20"/>
                <w:szCs w:val="20"/>
                <w:color w:val="auto"/>
              </w:rPr>
            </w:pPr>
            <w:r>
              <w:rPr>
                <w:rFonts w:ascii="Times New Roman" w:cs="Times New Roman" w:eastAsia="Times New Roman" w:hAnsi="Times New Roman"/>
                <w:sz w:val="3"/>
                <w:szCs w:val="3"/>
                <w:b w:val="1"/>
                <w:bCs w:val="1"/>
                <w:color w:val="auto"/>
              </w:rPr>
              <w:t>2023</w:t>
            </w:r>
          </w:p>
        </w:tc>
        <w:tc>
          <w:tcPr>
            <w:tcW w:w="800" w:type="dxa"/>
            <w:vAlign w:val="bottom"/>
            <w:tcBorders>
              <w:top w:val="single" w:sz="8" w:color="CCEEFF"/>
              <w:bottom w:val="single" w:sz="8" w:color="CCEEFF"/>
              <w:right w:val="single" w:sz="8" w:color="CCEEFF"/>
            </w:tcBorders>
            <w:shd w:val="clear" w:color="auto" w:fill="000000"/>
          </w:tcPr>
          <w:p>
            <w:pPr>
              <w:spacing w:after="0"/>
              <w:rPr>
                <w:sz w:val="2"/>
                <w:szCs w:val="2"/>
                <w:color w:val="auto"/>
              </w:rPr>
            </w:pPr>
          </w:p>
        </w:tc>
        <w:tc>
          <w:tcPr>
            <w:tcW w:w="46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70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8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jc w:val="right"/>
              <w:ind w:right="2"/>
              <w:spacing w:after="0" w:line="27" w:lineRule="exact"/>
              <w:rPr>
                <w:sz w:val="20"/>
                <w:szCs w:val="20"/>
                <w:color w:val="auto"/>
              </w:rPr>
            </w:pPr>
            <w:r>
              <w:rPr>
                <w:rFonts w:ascii="Times New Roman" w:cs="Times New Roman" w:eastAsia="Times New Roman" w:hAnsi="Times New Roman"/>
                <w:sz w:val="3"/>
                <w:szCs w:val="3"/>
                <w:b w:val="1"/>
                <w:bCs w:val="1"/>
                <w:color w:val="auto"/>
              </w:rPr>
              <w:t>)</w:t>
            </w:r>
          </w:p>
        </w:tc>
        <w:tc>
          <w:tcPr>
            <w:tcW w:w="54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000000"/>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000000"/>
          </w:tcPr>
          <w:p>
            <w:pPr>
              <w:spacing w:after="0"/>
              <w:rPr>
                <w:sz w:val="2"/>
                <w:szCs w:val="2"/>
                <w:color w:val="auto"/>
              </w:rPr>
            </w:pPr>
          </w:p>
        </w:tc>
        <w:tc>
          <w:tcPr>
            <w:tcW w:w="68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right w:val="single" w:sz="8" w:color="CCEEFF"/>
            </w:tcBorders>
            <w:shd w:val="clear" w:color="auto" w:fill="CCEEFF"/>
          </w:tcPr>
          <w:p>
            <w:pPr>
              <w:jc w:val="right"/>
              <w:ind w:right="25"/>
              <w:spacing w:after="0" w:line="27" w:lineRule="exact"/>
              <w:rPr>
                <w:sz w:val="20"/>
                <w:szCs w:val="20"/>
                <w:color w:val="auto"/>
              </w:rPr>
            </w:pPr>
            <w:r>
              <w:rPr>
                <w:rFonts w:ascii="Times New Roman" w:cs="Times New Roman" w:eastAsia="Times New Roman" w:hAnsi="Times New Roman"/>
                <w:sz w:val="3"/>
                <w:szCs w:val="3"/>
                <w:b w:val="1"/>
                <w:bCs w:val="1"/>
                <w:color w:val="auto"/>
              </w:rPr>
              <w:t>)</w:t>
            </w:r>
          </w:p>
        </w:tc>
        <w:tc>
          <w:tcPr>
            <w:tcW w:w="180" w:type="dxa"/>
            <w:vAlign w:val="bottom"/>
            <w:tcBorders>
              <w:top w:val="single" w:sz="8" w:color="CCEEFF"/>
              <w:bottom w:val="single" w:sz="8" w:color="CCEEFF"/>
            </w:tcBorders>
            <w:shd w:val="clear" w:color="auto" w:fill="000000"/>
          </w:tcPr>
          <w:p>
            <w:pPr>
              <w:spacing w:after="0"/>
              <w:rPr>
                <w:sz w:val="2"/>
                <w:szCs w:val="2"/>
                <w:color w:val="auto"/>
              </w:rPr>
            </w:pPr>
          </w:p>
        </w:tc>
        <w:tc>
          <w:tcPr>
            <w:tcW w:w="74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jc w:val="right"/>
              <w:ind w:right="25"/>
              <w:spacing w:after="0" w:line="27" w:lineRule="exact"/>
              <w:rPr>
                <w:sz w:val="20"/>
                <w:szCs w:val="20"/>
                <w:color w:val="auto"/>
              </w:rPr>
            </w:pPr>
            <w:r>
              <w:rPr>
                <w:rFonts w:ascii="Times New Roman" w:cs="Times New Roman" w:eastAsia="Times New Roman" w:hAnsi="Times New Roman"/>
                <w:sz w:val="3"/>
                <w:szCs w:val="3"/>
                <w:b w:val="1"/>
                <w:bCs w:val="1"/>
                <w:color w:val="auto"/>
              </w:rPr>
              <w:t>)</w:t>
            </w:r>
          </w:p>
        </w:tc>
        <w:tc>
          <w:tcPr>
            <w:tcW w:w="140" w:type="dxa"/>
            <w:vAlign w:val="bottom"/>
            <w:tcBorders>
              <w:top w:val="single" w:sz="8" w:color="CCEEFF"/>
              <w:bottom w:val="single" w:sz="8" w:color="CCEEFF"/>
            </w:tcBorders>
            <w:shd w:val="clear" w:color="auto" w:fill="000000"/>
          </w:tcPr>
          <w:p>
            <w:pPr>
              <w:spacing w:after="0"/>
              <w:rPr>
                <w:sz w:val="2"/>
                <w:szCs w:val="2"/>
                <w:color w:val="auto"/>
              </w:rPr>
            </w:pPr>
          </w:p>
        </w:tc>
        <w:tc>
          <w:tcPr>
            <w:tcW w:w="70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80" w:type="dxa"/>
            <w:vAlign w:val="bottom"/>
            <w:tcBorders>
              <w:top w:val="single" w:sz="8" w:color="CCEEFF"/>
              <w:bottom w:val="single" w:sz="8" w:color="CCEEFF"/>
            </w:tcBorders>
            <w:shd w:val="clear" w:color="auto" w:fill="000000"/>
          </w:tcPr>
          <w:p>
            <w:pPr>
              <w:spacing w:after="0"/>
              <w:rPr>
                <w:sz w:val="2"/>
                <w:szCs w:val="2"/>
                <w:color w:val="auto"/>
              </w:rPr>
            </w:pPr>
          </w:p>
        </w:tc>
        <w:tc>
          <w:tcPr>
            <w:tcW w:w="760" w:type="dxa"/>
            <w:vAlign w:val="bottom"/>
            <w:tcBorders>
              <w:top w:val="single" w:sz="8" w:color="CCEEFF"/>
              <w:bottom w:val="single" w:sz="8" w:color="CCEEFF"/>
            </w:tcBorders>
            <w:shd w:val="clear" w:color="auto" w:fill="000000"/>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CCEEFF"/>
            </w:tcBorders>
            <w:shd w:val="clear" w:color="auto" w:fill="000000"/>
          </w:tcPr>
          <w:p>
            <w:pPr>
              <w:spacing w:after="0"/>
              <w:rPr>
                <w:sz w:val="2"/>
                <w:szCs w:val="2"/>
                <w:color w:val="auto"/>
              </w:rPr>
            </w:pPr>
          </w:p>
        </w:tc>
        <w:tc>
          <w:tcPr>
            <w:tcW w:w="720" w:type="dxa"/>
            <w:vAlign w:val="bottom"/>
            <w:tcBorders>
              <w:top w:val="single" w:sz="8" w:color="CCEEFF"/>
              <w:bottom w:val="single" w:sz="8" w:color="CCEEFF"/>
              <w:right w:val="single" w:sz="8" w:color="CCEEFF"/>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(loss)/profit</w:t>
            </w: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(62,583)</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(62,583)</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(60,140)</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8,800,000</w:t>
            </w:r>
          </w:p>
        </w:tc>
        <w:tc>
          <w:tcPr>
            <w:tcW w:w="4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62,039</w:t>
            </w: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62,040</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745</w:t>
            </w: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62,785</w:t>
            </w: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tcBorders>
              <w:right w:val="single" w:sz="8" w:color="CCEEFF"/>
            </w:tcBorders>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(1,279)</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65"/>
        </w:trPr>
        <w:tc>
          <w:tcPr>
            <w:tcW w:w="132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8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June</w:t>
            </w:r>
          </w:p>
        </w:tc>
        <w:tc>
          <w:tcPr>
            <w:tcW w:w="800" w:type="dxa"/>
            <w:vAlign w:val="bottom"/>
            <w:tcBorders>
              <w:top w:val="single" w:sz="8" w:color="auto"/>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48,876,493</w:t>
            </w:r>
          </w:p>
        </w:tc>
        <w:tc>
          <w:tcPr>
            <w:tcW w:w="460" w:type="dxa"/>
            <w:vAlign w:val="bottom"/>
            <w:tcBorders>
              <w:top w:val="single" w:sz="8" w:color="auto"/>
            </w:tcBorders>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49,628,565</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206,199</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(189,307</w:t>
            </w: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15,619</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53,821</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69,440</w:t>
            </w:r>
          </w:p>
        </w:tc>
        <w:tc>
          <w:tcPr>
            <w:tcW w:w="0" w:type="dxa"/>
            <w:vAlign w:val="bottom"/>
          </w:tcPr>
          <w:p>
            <w:pPr>
              <w:spacing w:after="0"/>
              <w:rPr>
                <w:sz w:val="1"/>
                <w:szCs w:val="1"/>
                <w:color w:val="auto"/>
              </w:rPr>
            </w:pPr>
          </w:p>
        </w:tc>
      </w:tr>
      <w:tr>
        <w:trPr>
          <w:trHeight w:val="160"/>
        </w:trPr>
        <w:tc>
          <w:tcPr>
            <w:tcW w:w="1320" w:type="dxa"/>
            <w:vAlign w:val="bottom"/>
            <w:tcBorders>
              <w:bottom w:val="single" w:sz="8" w:color="CCEEFF"/>
            </w:tcBorders>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30, 2024</w:t>
            </w:r>
          </w:p>
        </w:tc>
        <w:tc>
          <w:tcPr>
            <w:tcW w:w="80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2"/>
              <w:spacing w:after="0" w:line="160"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51,845,493</w:t>
            </w:r>
          </w:p>
        </w:tc>
        <w:tc>
          <w:tcPr>
            <w:tcW w:w="4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46,659,565</w:t>
            </w: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208,701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(195,387</w:t>
            </w:r>
          </w:p>
        </w:tc>
        <w:tc>
          <w:tcPr>
            <w:tcW w:w="1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66,234</w:t>
            </w:r>
          </w:p>
        </w:tc>
        <w:tc>
          <w:tcPr>
            <w:tcW w:w="0" w:type="dxa"/>
            <w:vAlign w:val="bottom"/>
          </w:tcPr>
          <w:p>
            <w:pPr>
              <w:spacing w:after="0"/>
              <w:rPr>
                <w:sz w:val="1"/>
                <w:szCs w:val="1"/>
                <w:color w:val="auto"/>
              </w:rPr>
            </w:pPr>
          </w:p>
        </w:tc>
      </w:tr>
      <w:tr>
        <w:trPr>
          <w:trHeight w:val="160"/>
        </w:trPr>
        <w:tc>
          <w:tcPr>
            <w:tcW w:w="1320" w:type="dxa"/>
            <w:vAlign w:val="bottom"/>
            <w:tcBorders>
              <w:bottom w:val="single" w:sz="8" w:color="CCEEFF"/>
            </w:tcBorders>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2"/>
              <w:spacing w:after="0" w:line="160"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(loss)/profit</w:t>
            </w: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20" w:type="dxa"/>
            <w:vAlign w:val="bottom"/>
            <w:tcBorders>
              <w:top w:val="single" w:sz="8" w:color="CCEEFF"/>
            </w:tcBorders>
            <w:vMerge w:val="continue"/>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1,859</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(5,535)</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742</w:t>
            </w: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tcBorders>
              <w:right w:val="single" w:sz="8" w:color="CCEEFF"/>
            </w:tcBorders>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w:t>
            </w: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net of</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7,142,858</w:t>
            </w:r>
          </w:p>
        </w:tc>
        <w:tc>
          <w:tcPr>
            <w:tcW w:w="46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41,630</w:t>
            </w:r>
          </w:p>
        </w:tc>
        <w:tc>
          <w:tcPr>
            <w:tcW w:w="140" w:type="dxa"/>
            <w:vAlign w:val="bottom"/>
          </w:tcPr>
          <w:p>
            <w:pPr>
              <w:spacing w:after="0"/>
              <w:rPr>
                <w:sz w:val="12"/>
                <w:szCs w:val="12"/>
                <w:color w:val="auto"/>
              </w:rPr>
            </w:pPr>
          </w:p>
        </w:tc>
        <w:tc>
          <w:tcPr>
            <w:tcW w:w="780" w:type="dxa"/>
            <w:vAlign w:val="bottom"/>
            <w:gridSpan w:val="2"/>
            <w:vMerge w:val="restart"/>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41,631</w:t>
            </w:r>
          </w:p>
        </w:tc>
        <w:tc>
          <w:tcPr>
            <w:tcW w:w="8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0" w:type="dxa"/>
            <w:vAlign w:val="bottom"/>
          </w:tcPr>
          <w:p>
            <w:pPr>
              <w:spacing w:after="0"/>
              <w:rPr>
                <w:sz w:val="1"/>
                <w:szCs w:val="1"/>
                <w:color w:val="auto"/>
              </w:rPr>
            </w:pPr>
          </w:p>
        </w:tc>
      </w:tr>
      <w:tr>
        <w:trPr>
          <w:trHeight w:val="171"/>
        </w:trPr>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costs</w:t>
            </w:r>
          </w:p>
        </w:tc>
        <w:tc>
          <w:tcPr>
            <w:tcW w:w="8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transfer from</w:t>
            </w:r>
          </w:p>
        </w:tc>
        <w:tc>
          <w:tcPr>
            <w:tcW w:w="8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ordinary</w:t>
            </w:r>
          </w:p>
        </w:tc>
        <w:tc>
          <w:tcPr>
            <w:tcW w:w="8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to Class A</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220,000</w:t>
            </w:r>
          </w:p>
        </w:tc>
        <w:tc>
          <w:tcPr>
            <w:tcW w:w="4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(220,000)</w:t>
            </w:r>
          </w:p>
        </w:tc>
        <w:tc>
          <w:tcPr>
            <w:tcW w:w="4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ordinary shares</w:t>
            </w:r>
          </w:p>
        </w:tc>
        <w:tc>
          <w:tcPr>
            <w:tcW w:w="800" w:type="dxa"/>
            <w:vAlign w:val="bottom"/>
            <w:tcBorders>
              <w:right w:val="single" w:sz="8" w:color="CCEEFF"/>
            </w:tcBorders>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repurchase</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color w:val="auto"/>
              </w:rPr>
              <w:t>(3,438,557)</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(15,760)</w:t>
            </w:r>
          </w:p>
        </w:tc>
        <w:tc>
          <w:tcPr>
            <w:tcW w:w="140" w:type="dxa"/>
            <w:vAlign w:val="bottom"/>
          </w:tcPr>
          <w:p>
            <w:pPr>
              <w:spacing w:after="0"/>
              <w:rPr>
                <w:sz w:val="12"/>
                <w:szCs w:val="12"/>
                <w:color w:val="auto"/>
              </w:rPr>
            </w:pPr>
          </w:p>
        </w:tc>
        <w:tc>
          <w:tcPr>
            <w:tcW w:w="780" w:type="dxa"/>
            <w:vAlign w:val="bottom"/>
            <w:gridSpan w:val="2"/>
          </w:tcPr>
          <w:p>
            <w:pPr>
              <w:jc w:val="right"/>
              <w:ind w:right="6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(15,760)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(15,760)</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 of non-</w:t>
            </w:r>
          </w:p>
        </w:tc>
        <w:tc>
          <w:tcPr>
            <w:tcW w:w="8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(921)</w:t>
            </w: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(1,293)</w:t>
            </w:r>
          </w:p>
        </w:tc>
        <w:tc>
          <w:tcPr>
            <w:tcW w:w="18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71"/>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tcBorders>
              <w:right w:val="single" w:sz="8" w:color="CCEEFF"/>
            </w:tcBorders>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1,145</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65"/>
        </w:trPr>
        <w:tc>
          <w:tcPr>
            <w:tcW w:w="132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8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2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June</w:t>
            </w:r>
          </w:p>
        </w:tc>
        <w:tc>
          <w:tcPr>
            <w:tcW w:w="800" w:type="dxa"/>
            <w:vAlign w:val="bottom"/>
            <w:tcBorders>
              <w:top w:val="single" w:sz="8" w:color="auto"/>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59,208,351</w:t>
            </w:r>
          </w:p>
        </w:tc>
        <w:tc>
          <w:tcPr>
            <w:tcW w:w="460" w:type="dxa"/>
            <w:vAlign w:val="bottom"/>
            <w:tcBorders>
              <w:top w:val="single" w:sz="8" w:color="auto"/>
            </w:tcBorders>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46,439,565</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(3,638,557</w:t>
            </w: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233,650</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(202,781</w:t>
            </w: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29,351</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56,795</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86,146</w:t>
            </w:r>
          </w:p>
        </w:tc>
        <w:tc>
          <w:tcPr>
            <w:tcW w:w="0" w:type="dxa"/>
            <w:vAlign w:val="bottom"/>
          </w:tcPr>
          <w:p>
            <w:pPr>
              <w:spacing w:after="0"/>
              <w:rPr>
                <w:sz w:val="1"/>
                <w:szCs w:val="1"/>
                <w:color w:val="auto"/>
              </w:rPr>
            </w:pPr>
          </w:p>
        </w:tc>
      </w:tr>
      <w:tr>
        <w:trPr>
          <w:trHeight w:val="160"/>
        </w:trPr>
        <w:tc>
          <w:tcPr>
            <w:tcW w:w="1320" w:type="dxa"/>
            <w:vAlign w:val="bottom"/>
            <w:tcBorders>
              <w:bottom w:val="single" w:sz="8" w:color="CCEEFF"/>
            </w:tcBorders>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30, 2025</w:t>
            </w:r>
          </w:p>
        </w:tc>
        <w:tc>
          <w:tcPr>
            <w:tcW w:w="80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2"/>
              <w:spacing w:after="0" w:line="160"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for share and per share data, or otherwise noted)</w:t>
      </w:r>
    </w:p>
    <w:p>
      <w:pPr>
        <w:spacing w:after="0" w:line="10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(60,140)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software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 related to issuance of GEM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liability for GEM litigation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of subsidiary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of the Group</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62,040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income from short-term investments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(7,492)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21"/>
        </w:trPr>
        <w:tc>
          <w:tcPr>
            <w:tcW w:w="8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software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software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(20,603)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redemption of short-term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other non-current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(7,290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(7,611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52,119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short-term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(56,771)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payables to a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net of issuance cost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41,631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13,977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(9,866)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121"/>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beginning of the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33,595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29,512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23,729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27,002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8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to the unaudited condensed consolidated balance sheets: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24,305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27,002</w:t>
            </w:r>
          </w:p>
        </w:tc>
        <w:tc>
          <w:tcPr>
            <w:tcW w:w="0" w:type="dxa"/>
            <w:vAlign w:val="bottom"/>
          </w:tcPr>
          <w:p>
            <w:pPr>
              <w:spacing w:after="0"/>
              <w:rPr>
                <w:sz w:val="1"/>
                <w:szCs w:val="1"/>
                <w:color w:val="auto"/>
              </w:rPr>
            </w:pPr>
          </w:p>
        </w:tc>
      </w:tr>
      <w:tr>
        <w:trPr>
          <w:trHeight w:val="121"/>
        </w:trPr>
        <w:tc>
          <w:tcPr>
            <w:tcW w:w="86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122"/>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financing expense related to issuance of GEM Warrants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231"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Auto Services Group Limited (“SunCar”) was incorporated under the laws of the British Virgin Islands (“BVI”) on September 19, 2012 and continued in the Cayman Islands in accordance with applicable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2022, SunCar entered into the Agreement and Plan of Merger (“Merger Agreement”) with Goldenbridge Acquisition Limited (“Goldenbridge”), SunCar Technology Group Inc. (“SunCar Technology”, or the “Company”), and SunCar Technology Global Inc (the “Merger Sub”), a Cayman Islands exempted company and wholly owned subsidiary of SunCar Technology.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the closing of the transactions (the “Business Combination”, or the “Transaction”) contemplated by the Merger Agreement (the “Closing”), (i) Goldenbridge was merged with and into SunCar Technology, the separate corporate existence of Goldenbridge ceasing and SunCar Technology continuing as the surviving corporation; (ii) the Merger Sub was merged with and into SunCar, the Merger Sub ceasing and SunCar continuing as the surviving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through its wholly-owned subsidiaries (collectively, the “Group”) primarily engages in providing auto eInsurance service, technology service and auto service in the People’s Republic of China (“PRC” or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 Car Online Insurance Agency Co., Ltd. (“SunCar Online”) was incorporated under the laws of PRC on December 5, 2007, and along with its subsidiaries, are the Group’s main operating entities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2023 (the “Closing Date”), Goldenbridge and SunCar Technology consummated the closing of the Transaction of Goldenbridge and SunCar Technology, following the approval at a Special Meeting of the shareholders on April 14, 2023. Following the consummation of the Transaction, Goldenbridge as a wholly-owned subsidiary of SunCar Technology and the outstanding shares of Goldenbridge being converted into the right to receive shares of SunCar Technology, the combined company will retain the SunCar Technology name.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SunCar was determined to be the accounting acquirer given it effectively controlled the combined entity after the Transaction. The Transaction is not a business combination because Goldenbridge was not a business. The Transaction is accounted for as a reverse recapitalization, which is equivalent to the issuance of shares by SunCar for the net monetary assets of the Company, accompanied by a recapitalization. SunCar is determined as the accounting acquirer and the historical financial statements of SunCar became the Company’s historical financial statements, with retrospective adjustments to give effect of the reverse recapitalization. All of the Ordinary Shares and Convertible Preferred Shares of SunCar that were issued and outstanding immediately prior to the Transaction were cancelled and converted into an aggregate of 31,971,435 Class A ordinary shares and 49,628,565 Class B ordinary shares, which has been restated retrospectively to reflect the equity structure of the Company. The par value of ordinary shares changed from $0.00005 to $0.0001, the difference of $3 was adjusted retrospectively as in addition paid-in capital as of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2025, SunCar’s major subsidiaries are as follows: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0"/>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02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4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216"/>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 Car Online Insurance Agency Co., Ltd. (“SUNCAR Online”)</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5, 2007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Auto eInsurance service</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Feiyou Trading Co., Limited (“Shanghai Feiyou”)</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11, 2009</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Technology services</w:t>
            </w:r>
          </w:p>
        </w:tc>
      </w:tr>
      <w:tr>
        <w:trPr>
          <w:trHeight w:val="198"/>
        </w:trPr>
        <w:tc>
          <w:tcPr>
            <w:tcW w:w="5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Xuanbei Automobile Service Co., Limited (“Shanghai</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34"/>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Xuanbei”)</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26, 2018</w:t>
            </w: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Auto service</w:t>
            </w:r>
          </w:p>
        </w:tc>
      </w:tr>
      <w:tr>
        <w:trPr>
          <w:trHeight w:val="198"/>
        </w:trPr>
        <w:tc>
          <w:tcPr>
            <w:tcW w:w="5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Shanghai Shengshi Dalian Automobile Service Co., Limited</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(“Shengda Automobile”)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8, 2013</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Auto service</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Haiyan Trading (Shanghai) Co., Limited (“Haiyan”)</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22, 2012</w:t>
            </w: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r>
    </w:tbl>
    <w:p>
      <w:pPr>
        <w:spacing w:after="0" w:line="19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Unaudited interim results are not necessarily indicative of the results for the full fiscal year. The accompanying unaudited condensed financial statements should be read in conjunction with the audited consolidated financial statements and accompanying notes for the years ended December 31, 2023 and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financial statements of the Company and its subsidiaries. All intercompany transactions and balances among the Company and its subsidiaries have been eliminated upon consolidation. For consolidated subsidiaries where the Group’s ownership in the subsidiary is less than 100%, the equity interest not held by the Group is shown as non-controlling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unaudited condensed consolidated financial statements and accompanying notes. Significant accounting estimates include, but not limited to, the allowance for credit losses, useful lives and impairment of long-lived assets, valuation allowances of deferred tax assets, and warrant liabilities. Changes in facts and circumstances may result in revised estimates. Actual results could differ from those estimates, and as such, differences may be material to the unaudited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Accounts receivable,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net are stated at the original amount less allowances for credit losses. Accounts receivable are recognized in the period when the Group has provided services to its customers and when its right to consideration is unconditional. The Group adopted ASC Topic 326, Financial Instruments-Credit Losses (Topic 326) and assesses collectability by reviewing accounts receivable on a collective basis where similar characteristics exist, primarily based on similar business lines,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Warrant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Warrants was estimated using a Black-Scholes model.</w:t>
      </w:r>
    </w:p>
    <w:p>
      <w:pPr>
        <w:spacing w:after="0" w:line="17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short-term investments, other receivables included in prepayments and other current assets, long-term investment, short-term borrowings, accounts payable, other payables included in accrued expenses and other current liabilities, and warrant liabilities. As of December 31, 2024 and June 30, 2025, the carrying amounts of other financial instruments approximated to their fair values due to the short-term maturity of these instruments. The warrant liabilities were measured at fair value using unobservable inputs and categorized in Level 3 of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non-financial assets, such as property, software and equipment, would be measured at fair value only if they were determined to be impaired.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revenues are mainly generated from providing auto eInsurance service, technology service and auto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recognizes revenue pursuant to ASC 606, Revenue from Contracts with Customers (“ASC 606”). In accordance with ASC 606, revenues from contracts with customers are recognized when control of the promised goods or services is transferred to the Group’s customers, in an amount that reflects the consideration the Group expects to be entitled to in exchange for those goods or services, reduced by Value Added Tax (“VAT”). To achieve the core principle of this standard, we applied the following five steps: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 when, or as, a performance obligation is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eInsurance Service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provides auto eInsurance service distributing primarily vehicle insurance on behalf of the insurance companies and charges insurance companies for intermediation service commissions. The commissions are determined as a percentage of premiums paid by the insured. Auto eInsurance services are considered to be rendered and completed, and revenue is recognized, at the time an insurance policy becomes effective, that is, when the signed insurance policy is in place and the premium is collected from the insured. The Group has satisfied the performance obligation to recognize revenue when the premiums are collected by the respective insurance companies and not before, because collectability is not ensured until receipt of the premium. Accordingly, the Group does not accrue any auto eInsurance service commission and fees prior to the receipt of the related premiums. No allowance for cancellation has been provided for intermediation services as cancellation of policies rarely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provides technology service including technical software and consulting related to automobile services and insurance, such as customer relationship management (CRM), order management, finance management and visual analysis systems. The Group charges service fee based on fixed price per month for service provided, and recognizes revenue over time during the service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 service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Group defines enterprise customers as the Group’s customers and the Group sells auto service coupons to enterprise customers, which each coupon represents one specific auto service. There are various service types including vehicle washing, waxing, maintenance, driving service and road assistance, and the Group only provides one specific service among various service types for each specific service coupon. The Group identifies each specific service coupon as a contract that establishes enforceable rights and obligations for each party. The Group charges the service fee at a fixed price per service when the service is performed. For service coupons with limited duration, the Group either charges the service fee at a fixed price per service when the service is performed or when the coupon expires, whether or not the service has been performed. The Group considers each service coupon is a distinct service that is capable of providing a benefit to the customer on its own according to ASC 606-10-25-14(a). Therefore, the Group identifies only one performance obligation under a contract, which is to provide a specific service or to stand-ready to perform a specific service within a limited duration. The Group acts as a principal as the Group controls the right to services before the services are provided to customers and the Group has the ability to direct other parties to provide the services to customers on the Group’s behalf. Specifically, the Group has the ability to choose service providers, is primarily responsible for the acceptability for the service meeting customer specifications, bears inventory risk after transfer of control of services to customers, and has the discretion in establishing the price with customers and with service providers and bears credit risk. The Group recognizes revenue in the gross amount of consideration at a point of time when the service is provided, or when the service coupon expires. The Group does not provide refunds to customers when a coupon has expired but not used.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revenues are disaggregated by timing of revenue recognition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of time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revenue recognized for the amounts invoiced and/or prior to invoicing when the Group has satisfied its performance obligation and has an unconditional right to the payment. Contract assets represent the Group’s right to consideration in exchange for goods or services that the Group has transferred to a customer. The Group has no contract assets as of December 31, 2024 and June 30,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the performance obligation is satisfied. The Group’s deferred revenue amounted to $2,421 and $2,142 as of December 31, 2024 and June 30, 2025, respectively. During the six months ended June 30, 2024 and 2025, the Group recognized $3,050 and $2,026 that was included in deferred revenue balance at January 1, 2024 and 2025,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grants restricted share units (“RSUs”) of the Company and its subsidiary, SunCar Online, to eligible employees and management. The Group accounts for share-based awards issued to employees and non-employees in accordance with ASC Topic 718 Compensation – Stock Compensation. The Group recognizes compensation cost for an equity classified award using the straight-line method over the applicable vesting period based on the fair value of restricted shares granted on the date of the grant. Awards of subsidiary equity is recognized in “non-controlling interest” in the consolidated entity.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for the business combination closed on May 17, 2023 included totally 4,800,000 earnout shares (“Earnout Shares”) granted to the management upon the achievement of revenue targets in 2022, 2023 and 2024. Earnout Shares in 2022 was accounted for as part of the consideration of the business combination. The Group recognizes Earnout Shares in 2023 and 2024 for an equity classified award using the graded vesting method over the applicable vesting period based on the fair value of the Earnout Shares on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Foreign currency transactions and translations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principal country of operations is the PRC. The financial position and results of its operations are determined using RMB, the local currency, as the functional currency. The Group’s financial statements are reported using U.S. Dollars (“$”). The results of operations and the unaudited condensed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unaudited condensed consolidated statements of cash flows will not necessarily agree with changes in the corresponding balances on the unaudited condensed consolidated balance sheets. Translation adjustments arising from the use of different exchange rates from period to period are included as a separate component of accumulated other comprehensive income (loss) included in unaudited condensed consolidated statements of changes in equity. Gains and losses from foreign currency transactions are included in the results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RMB against $ and other currencies may fluctuate and is affected by, among other things, changes in the PRC’s political and economic conditions. Any significant revaluation of RMB may materially affect the Group’s financial condition in terms of $ reporting. The following table outlines the currency exchange rates that were used in creating the unaudited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8680" w:type="dxa"/>
            <w:vAlign w:val="bottom"/>
          </w:tcPr>
          <w:p>
            <w:pPr>
              <w:spacing w:after="0"/>
              <w:rPr>
                <w:sz w:val="19"/>
                <w:szCs w:val="19"/>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7.1636</w:t>
            </w:r>
          </w:p>
        </w:tc>
        <w:tc>
          <w:tcPr>
            <w:tcW w:w="100" w:type="dxa"/>
            <w:vAlign w:val="bottom"/>
            <w:shd w:val="clear" w:color="auto" w:fill="CCEEFF"/>
          </w:tcPr>
          <w:p>
            <w:pPr>
              <w:spacing w:after="0"/>
              <w:rPr>
                <w:sz w:val="18"/>
                <w:szCs w:val="18"/>
                <w:color w:val="auto"/>
              </w:rPr>
            </w:pPr>
          </w:p>
        </w:tc>
      </w:tr>
      <w:tr>
        <w:trPr>
          <w:trHeight w:val="410"/>
        </w:trPr>
        <w:tc>
          <w:tcPr>
            <w:tcW w:w="8680" w:type="dxa"/>
            <w:vAlign w:val="bottom"/>
          </w:tcPr>
          <w:p>
            <w:pPr>
              <w:spacing w:after="0"/>
              <w:rPr>
                <w:sz w:val="24"/>
                <w:szCs w:val="24"/>
                <w:color w:val="auto"/>
              </w:rPr>
            </w:pPr>
          </w:p>
        </w:tc>
        <w:tc>
          <w:tcPr>
            <w:tcW w:w="25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868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operations and comprehensive loss, and statements of cash flows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representation is made that the RMB amounts could have been, or could be, converted into U.S. dollars at the rates used in translation.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which modifies the disclosure and presentation requirements of reportable segments. The new guidance requires the disclosure of significant segment expenses that are regularly provided to the chief operating decision maker (“CODM”)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update is effective for annual periods beginning after December 15, 2023, and interim periods within fiscal years beginning after December 15, 2024, with early adoption permitted. The Group has adopted ASU2023-07 for annual periods beginning from January 1, 2024 (See Note 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is in the process of evaluation the impact of adopting this new guidance on its consolidated financial statement.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The Group is currently evaluating the impact that the adoption of these standards will have on its consolidated financial statements and disclosures.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Debt–Debt with Conversion and Other Options (Subtopic 470-20): Induced Conversion of Convertible Debt Instruments (“ASU 2024–04”),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Group is in the process of evaluation the impact of adopting this new guidance on its consolidated financial statement.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The amendments in ASU 2025-05 provide entities with a practical expedient to simplify the estimation 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Group for its for annual reporting periods beginning after December 15, 2025, and interim reporting periods within those annual reporting periods, with early adoption permitted. The Group is currently evaluating the impact ASU 2025-05 will have on its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reviews financial information of operating segments based on internal management report when making decisions about allocating resources and assessing the performance of the Group. As a result of the assessment made by CODM, the Group has four reportable segments, including auto eInsurance business, technology service and auto service business. The Group’s CODM evaluates performance based on the operating segment’s revenue and their operating results. The revenue and operating results by segments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eInsurance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Auto service</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(12,582)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(101,464)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and selling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(95,556)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(6,559)</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(105,084)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(98,260)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(20,117)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(103,149)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(223,502)</w:t>
            </w: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other income/(expenses), net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(939)</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(3,059)</w:t>
            </w: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(4,051)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(loss)/income before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4,118</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(5,035)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(5,244)</w:t>
            </w:r>
          </w:p>
        </w:tc>
      </w:tr>
      <w:tr>
        <w:trPr>
          <w:trHeight w:val="452"/>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einsurance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Auto service</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(13,586)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(94,035)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(107,621)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and selling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(71,124)</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(7,780)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(81,334)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(40,537)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(31,020)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(32,205)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(73,428)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(22,656)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(102,409)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(63,204)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(261,697)</w:t>
            </w: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other expenses, net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(218)</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(143)</w:t>
            </w:r>
          </w:p>
        </w:tc>
        <w:tc>
          <w:tcPr>
            <w:tcW w:w="2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(598)</w:t>
            </w:r>
          </w:p>
        </w:tc>
        <w:tc>
          <w:tcPr>
            <w:tcW w:w="2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income/(loss) before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(911)</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(63,507)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(59,873)</w:t>
            </w: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Included net of financial expenses, investment income and others.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total assets by segments as of December 31, 2024 and as of June 30, 2025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56,769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39,391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170,973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246,728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277,529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(21,862)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(28,631)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Group recognized credit losses of $2,654 and $6,278 for the six months ended June 30, 2024 and 2025.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allowance for credit losses for the six months ended June 30, 2024 and 2025 were as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the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 consisted of the following: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Securities margin </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tax (“VAT”) receivables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Receivables from third parties </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Prepaid financing expense </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net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77,363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80" w:right="40" w:hanging="345"/>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and May 15, 2025, Shanghai Cuhong Auto Services Co., Ltd. (“Shanghai Cuhong”), a subsidiary of the Company, provided cash collateral of RMB14.6 million (approximately $2.0 million) and RMB7.2 million (approximately $1.0 million) respectively, to Beijing Youhu Business Services Co., Ltd. (“Youhu”) under a guarantee agreement. The collateral was intended to secure margin loan obligations of Shanghai Cuhong’s affiliates with Youhu’s related entities, Tiger Brokers (NZ) Limited and Tiger Brokers (HK) Global Limited. The amount is refundable upon fulfillment of the margin requirements by the related affiliates.</w:t>
      </w:r>
    </w:p>
    <w:p>
      <w:pPr>
        <w:spacing w:after="0" w:line="237"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represented advance to the employees for Company’s daily operation.</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represented prepaid financing expense related to issuance of GEM Warrants (See Note 10).</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Group assessed the collectability of prepayments and other current assets, and did not record credit losses for the six months ended June 30, 2024 and 2025, respectively. The movement of allowance for credit losses for the six months ended June 30, 2024 and 2025 were as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10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4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w:t>
            </w:r>
          </w:p>
        </w:tc>
        <w:tc>
          <w:tcPr>
            <w:tcW w:w="100" w:type="dxa"/>
            <w:vAlign w:val="bottom"/>
            <w:shd w:val="clear" w:color="auto" w:fill="CCEEFF"/>
          </w:tcPr>
          <w:p>
            <w:pPr>
              <w:spacing w:after="0"/>
              <w:rPr>
                <w:sz w:val="18"/>
                <w:szCs w:val="18"/>
                <w:color w:val="auto"/>
              </w:rPr>
            </w:pPr>
          </w:p>
        </w:tc>
      </w:t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jc w:val="right"/>
              <w:ind w:right="3593"/>
              <w:spacing w:after="0"/>
              <w:rPr>
                <w:sz w:val="20"/>
                <w:szCs w:val="20"/>
                <w:color w:val="auto"/>
              </w:rPr>
            </w:pPr>
            <w:r>
              <w:rPr>
                <w:rFonts w:ascii="Times New Roman" w:cs="Times New Roman" w:eastAsia="Times New Roman" w:hAnsi="Times New Roman"/>
                <w:sz w:val="18"/>
                <w:szCs w:val="18"/>
                <w:color w:val="auto"/>
              </w:rPr>
              <w:t>F-15</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SOFTWARE AND EQUIPMENT, NET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software and equipment, net,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Computer software </w:t>
            </w:r>
            <w:r>
              <w:rPr>
                <w:rFonts w:ascii="Times New Roman" w:cs="Times New Roman" w:eastAsia="Times New Roman" w:hAnsi="Times New Roman"/>
                <w:sz w:val="29"/>
                <w:szCs w:val="29"/>
                <w:color w:val="auto"/>
                <w:vertAlign w:val="superscript"/>
              </w:rPr>
              <w:t>(i)</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31,534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13,210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(18,805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software and equipment, net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27,664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left="380" w:right="20" w:hanging="345"/>
        <w:spacing w:after="0" w:line="258"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2022 onwards, part of hybrid cloud platform developed with the assistance of a third-party cloud service provider were progressively completed and deemed substantially ready for use, and transferred from other non-current assets. Cost of hybrid cloud platform represents the purchase price of the platform and other expenditures incurred to bring the platform into its intended use. The application of the hybrid cloud platform was to improve the IT development capability for internal-used software platforms which provide auto eInsurance service and auto service to customers, and Software-As-A-Service (“SaaS”) products which are provided to business partners as technology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$1,813 and $2,531 for the six months ended June 30, 2024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2025, the Group recorded no impairment loss of property, software and equipment.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cloud infrastructure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for cloud infrastructure support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hanging="392"/>
        <w:spacing w:after="0" w:line="282" w:lineRule="auto"/>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primarily consisted of other cloud infrastructure under construction, which was not available for use as of June 30, 2025 and expected to be completed in the first quarter of 2026.</w:t>
      </w:r>
    </w:p>
    <w:p>
      <w:pPr>
        <w:spacing w:after="0" w:line="161"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half of 2025, the Group paid RMB38.9 million (approximately $5.4 million) for cloud infrastructure support, which would be amortized over 3 years based on the service agreements. For the six months ended June 30, 2024 and 2025, amortization expense was nil and $447.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Contingent liabilities of GEM dispute </w:t>
            </w:r>
            <w:r>
              <w:rPr>
                <w:rFonts w:ascii="Times New Roman" w:cs="Times New Roman" w:eastAsia="Times New Roman" w:hAnsi="Times New Roman"/>
                <w:sz w:val="28"/>
                <w:szCs w:val="28"/>
                <w:color w:val="auto"/>
                <w:vertAlign w:val="superscript"/>
              </w:rPr>
              <w:t>(i)</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Project deposits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and other taxes payable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amount received for unvested restricted shares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80" w:right="20" w:hanging="345"/>
        <w:spacing w:after="0" w:line="258" w:lineRule="auto"/>
        <w:tabs>
          <w:tab w:leader="none" w:pos="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arbitration proceeding held in New York involving GEM Global Yield LLC SCS and GEM Yield Bahamas Limited (collectively, “GEM”), which sought monetary damages against Auto Services Group Limited (“ASGL”) concerning an alleged breach of contractual obligations, the arbitration tribunal issued an award at the end of April, 2025 (the “Award”). The Award requires ASGL to pay GEM $2.8 million plus simple interest at 9% per annum. GEM filed an application to convert the Award to a money judgment on May 9, 2025, which is currently pending enforcement. As of June 30, 2025 and the issuance date of the consolidated financial statements, this amount remains outstanding.</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entered into operating lease agreements for certain offices, which are located in PRC. The Group determines if an arrangement is a lease, or contains a lease, at inception and record the leases in the consolidated financial statements upon lease commencement, which is the date when the lessor makes the underlying asset available for use by the lessee.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for the operating leases where the Group is the lessee are presented as follows within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47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47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jc w:val="right"/>
              <w:ind w:right="3013"/>
              <w:spacing w:after="0"/>
              <w:rPr>
                <w:sz w:val="20"/>
                <w:szCs w:val="20"/>
                <w:color w:val="auto"/>
              </w:rPr>
            </w:pPr>
            <w:r>
              <w:rPr>
                <w:rFonts w:ascii="Times New Roman" w:cs="Times New Roman" w:eastAsia="Times New Roman" w:hAnsi="Times New Roman"/>
                <w:sz w:val="18"/>
                <w:szCs w:val="18"/>
                <w:color w:val="auto"/>
              </w:rPr>
              <w:t>F-17</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expenses were as follows: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of operating lease liabilities</w:t>
            </w:r>
          </w:p>
        </w:tc>
        <w:tc>
          <w:tcPr>
            <w:tcW w:w="14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For the six months ended June 30, 2024 and 2025, the short-term lease expenses amounted to $70 and $82, respectively.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leases where the Group is the lessee is as follows: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8"/>
              </w:rPr>
              <w:t>3.94%</w:t>
            </w:r>
          </w:p>
        </w:tc>
        <w:tc>
          <w:tcPr>
            <w:tcW w:w="0" w:type="dxa"/>
            <w:vAlign w:val="bottom"/>
          </w:tcPr>
          <w:p>
            <w:pPr>
              <w:spacing w:after="0"/>
              <w:rPr>
                <w:sz w:val="1"/>
                <w:szCs w:val="1"/>
                <w:color w:val="auto"/>
              </w:rPr>
            </w:pP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2025, the following is a schedule of future minimum payments under the Group’s operating leases: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calendar year ended June 30,</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2022, Auto Services Group Limited entered into a Share Purchase Agreement (the “GEM Purchase Agreement”) with GEM Global Yield LLC SCS (“GEM Investor”) and GEM Yield Bahamas Limited (“GYBL”) relating to a share subscription facility. Pursuant to the GEM Purchase Agreement, Auto Services Group Limited has the right to sell to GEM Investor up to $125 million of its ordinary shares (the “GEM Shares”) for a 36-month period following a public listing of the Group’s ordinary shares (the “Investment Period”). GEM Investor would pay 90% of the average daily closing price during the pricing period, which is a 30-day period after SunCar turns a draw-down notice to GEM Investor.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execution of the GEM Purchase Agreement and as consideration for GEM Investor’s irrevocable commitment to purchase the GEM Shares, SunCar has agreed to make a warrant (the “GEM Warrants”) granting GYBL the right, during the Investment Period, to purchase the Group’s ordinary shares up to the equivalent of 3.3% of the total equity interests outstanding immediately after the completion of the Group’s public listing, calculated on a fully diluted basis. The exercise price of the GEM Warrant $11.50 per share in the case the Group consummates a merger transaction with GBRG, and priced customarily in the absence of the consummation of such a merger. The GEM Warrant may be exercised only on cash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Business Combination completed in May 2023, SunCar Technology Group Inc. registered the GEM Shares and GEM Warrants for the GEM Investor pursuant to GEM Purchase Agreement. As of June 30, 2025, the Company did not sell any ordinary shares to GEM Investor pursuant to GEM Purchase Agreement. The Company issued 2,839,951 GEM Warrants with the exercise price of $11.50 per share. Each GEM Warrant is entitled to purchase one Class A Ordinary Share. The GEM Warrants were exercisable from May 17, 2023, and shall expire on the date of the third anniversary of the public listing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GEM Warrant met the criteria for equity classification. Pursuant to GEM Purchase Agreement, the GEM Warrants were issued as consideration for GEM Investor’s irrevocable commitment to purchase the GEM Shares, and thus, the initial fair value of the warrants was recorded as prepaid financing expense, which was amortized within the Investment Period commencing from May 17, 2023 to May 17, 2026. The Group recognized financing expense of $303 and $300 for the six months ended June 30, 2024 and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 and Private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has assumed 6,100,000 warrants outstanding, which consisted of: (i) 5,750,000 warrants (the “Public Warrants”) with each Public Warrant exercisable to purchase one-half (1/2) of one Class A Ordinary Share at a price of $11.50 per share, such Public Warrants originally issued in the initial public offering of Goldenbridge by holders, and (ii) 350,000 warrants (the “Private Warrants”) with each Private Warrant exercisable to purchase one-half (1/2) of one Class A Ordinary Share at a price of $11.50 per share, such Private Warrants originally issued in a private placement by Goldenbridge in connection with the initial public offering of GBRG by the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Public Warrants are exercisable, the Company may redeem the Public Warrants in whole, and not in part, at a price of $0.01 per warrant:</w:t>
      </w:r>
    </w:p>
    <w:p>
      <w:pPr>
        <w:spacing w:after="0" w:line="252" w:lineRule="exact"/>
        <w:rPr>
          <w:sz w:val="20"/>
          <w:szCs w:val="20"/>
          <w:color w:val="auto"/>
        </w:rPr>
      </w:pPr>
    </w:p>
    <w:p>
      <w:pPr>
        <w:jc w:val="both"/>
        <w:ind w:left="380" w:right="40" w:hanging="345"/>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the Class A Ordinary Shares equals or exceeds $16.50 per share (subject to adjustment for splits, dividends, recapitalizations and other similar events) for any 20 trading days within a 30-trading day period ending on the third business day prior to the date on which the Company send the notice of redemption to the warrant holders.</w:t>
      </w:r>
    </w:p>
    <w:p>
      <w:pPr>
        <w:spacing w:after="0" w:line="22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foregoing conditions are satisfied and the Company would issue a notice of redemption, each Public Warrant holder can exercise his, her or its warrant prior to the scheduled redemption date. However, the price of the ordinary shares may fall below the $16.50 trigger price as well as the $11.50 warrant exercise price per full share after the redemption notice is issued and not limit our ability to complete the redemption.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the Public Warrants. The Private Warrants will be non-redeemable and may be exercised on a cashless basis, in each case so long as they continue to be held by the initial purchaser or their permitted transferees.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exercise period of Public Warrants and Private Warrants commence on the later to occur of (i) the completion of the Company’s initial business combination and (ii)12 months following the closing of the Public Offering of GBRG, and terminating on earlier to occur if (i) five years after the completion of the initial business combination (May 17, 2028), and (ii) the date fixed for redemption of the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met the criteria for equity classification and are recorded as additional paid-in capital on the Consolidated Balance Sheet at the completion of the Business Combination. The Private Warrants contain exercise and settlement features that may change with a change in the holder, which precludes the Private Warrants from being indexed to the Company’s own stock. Therefore, the Private Warrants are recognized as warrant liabilities on Consolidated Balance Sheet at fair value, with subsequent changes in fair value recognized in the Consolidated Statement of Operations and Comprehensive Loss at each reporting date until exercised.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issued in the Follow-on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Follow-on Offering, the Company agreed to issue to the Institutional Investors certain common warrants (“Common Warrants”) for the purchase of up to 3,850,857 Ordinary Shares at an exercise price of $9.00 per share. The Warrants are exercisable immediately after October 30, 2023, the date of issuance and will have a term of five years therefrom.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Placement Agency Agreement dated October 26, 2023 (the “Placement Agency Agreement”) with FT Global Capital, Inc., to act as exclusive placement agent in connection with the Follow-on Offering (the “Placement Agent”). The Company agreed to pay the Placement Agent a cash fee equal to 7.5% of the gross proceeds raised in the Follow-on Offering. In addition, the Company agreed to issue to the Placement Agent warrants (“PA Warrants”) to purchase a number of Ordinary Shares equal to 1% of the aggregate number of Ordinary Shares sold in the Follow-on Offering, at an exercise price equal to $10.225 per share. The number of PA Warrants issued to FT Global Capital, Inc was 25,672.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Warrants and PA Warrants met the criteria for equity classification. The fair value of the Common Warrants and PA Warrants were of $17,739, valued based on the Black-Scholes-Merton model and is recorded as additional paid-in capital from common stock on the relative fair value of net proceeds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summarizes the assumptions of the initial fair value of warrants under Black-Scholes-Merton model: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GEM</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w:t>
            </w:r>
          </w:p>
        </w:tc>
      </w:tr>
      <w:tr>
        <w:trPr>
          <w:trHeight w:val="245"/>
        </w:trPr>
        <w:tc>
          <w:tcPr>
            <w:tcW w:w="5840" w:type="dxa"/>
            <w:vAlign w:val="bottom"/>
          </w:tcPr>
          <w:p>
            <w:pPr>
              <w:spacing w:after="0"/>
              <w:rPr>
                <w:sz w:val="21"/>
                <w:szCs w:val="21"/>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(1)</w:t>
        <w:tab/>
        <w:t>Expected term (in years)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term (in years) of the warrants is extracted from warrant agreements.</w:t>
      </w:r>
    </w:p>
    <w:p>
      <w:pPr>
        <w:spacing w:after="0" w:line="250"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Volatility</w:t>
      </w:r>
    </w:p>
    <w:p>
      <w:pPr>
        <w:spacing w:after="0" w:line="25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ordinary shares during the lives of the warrants was estimated based on the historical stock price volatility of comparable listed companies over a period comparable to the expected term of the options.</w:t>
      </w:r>
    </w:p>
    <w:p>
      <w:pPr>
        <w:spacing w:after="0" w:line="18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Risk-free interest rate</w:t>
      </w:r>
    </w:p>
    <w:p>
      <w:pPr>
        <w:spacing w:after="0" w:line="25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daily treasury long term rate of the U.S. Treasury Department with a maturity period close to the expected term of the warrants.</w:t>
      </w:r>
    </w:p>
    <w:p>
      <w:pPr>
        <w:spacing w:after="0" w:line="18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(4)</w:t>
        <w:tab/>
        <w:t>Dividend yield</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dividend yield was estimated by the Group based on its expected dividend policy over the expected term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table summarizes the status of warrants outstanding and exercisable as of June 30,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12,431,674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exercisable, as of December 31, 2024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12,431,674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as of June 30,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12,431,674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exercisable, as of June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12,431,674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12,431,674 warrants outstanding to purchase 9,574,077 Class A Ordinary Shares with weighted average exercise price of $10.72 per share and remaining contractual lives of 2.56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consideration for the Business Combination included earnout share to the management as follows (“Earnout Shares”):</w:t>
      </w:r>
    </w:p>
    <w:p>
      <w:pPr>
        <w:spacing w:after="0" w:line="225"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$258,000 for the fiscal year ending December 31, 2022, as reflected on the audited consolidated financial statements of the Company as of and for the fiscal year ended December 31, 2022;</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US$352,000,000 for the fiscal year ending December 31, 2023, as reflected on the audited consolidated financial statements of the Company as of and for the fiscal year ended December 31, 2023;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Class A Ordinary Shares if the Group’s revenue equals or exceeds US$459,000,000 for the fiscal year ending December 31, 2024, as reflected on the audited consolidated financial statements of the Company as of and for the fiscal year ended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was completed on May 17, 2023. The Earnout Shares related to the performance condition in 2022, attributable to pre-combination vesting, is substantially part of the consideration in the exchange for the Company. The Earnout Shares related to business performance in 2023 and 2024 are accounted for as share-based compensation under ASC718, using the graded vesting method over the applicable vesting period based on the fair value of the Earnout Shares of $6.11 per share on the grant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the Group recognized share-based compensation expense related to Earnout Shares of nil.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Incentive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28, 2024, the board of directors of the Company approved 2024 Equity Incentive Plan (the “2024 Plan”). Under the 2024 Plan, the maximum aggregate number of Class A ordinary shares that may be issued pursuant to the awards shall be 8,800,000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8,800,000 shares have been issued to employees. The shares were fully vested upon granted. The shares issued under 2024 Plan are accounted for as share-based compensation under ASC718 based on the fair value of the ordinary shares of $7.05 per share on the grant date. For the six months ended June 30, 2024, the Company recognized share-based compensation expenses of $62,040.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of a subsidiary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9, 2020, the shareholders of Shengda Automobile, a subsidiary of SunCar, approved and adopted the Share Incentive Plan (the “2020 Plan”), under which eligible employees were granted 2,500,000 of restricted ordinary shares of Shanghai Shengda to award eligible employees’ contribution of the expansion of Shengda Automobile, at the price of RMB4.2 per share (“Restricted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restricted ordinary shares are subject to an annual vesting schedule that vests 20% of granted restricted shares over the next five years as the employees are required to provide services for a total of 60 months to earn the award. The employees have made full subscription payment of $1,553 during the year ended December 31, 2020. Upon termination, the unvested restricted shares are forfeited and the prepaid subscription amount for the unvested portion shall be returned to the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restricted ordinary shares were considered as nonvested shares under the definition of ASC 718-10-20. The fair value of the Shares at the grant date was RMB25.71 ($3.94) per share, which was determined based on the purchase price of the financial offering of the same securities with external institutional investors. The Group accounts for forfeitures as a reduction of stock-based compensation expense when the forfeiture actually occurs.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SunCar recognizes compensation expenses related to those restricted shares on a straight-line basis over the vesting periods. $745 and $742 of compensation expenses were recorded for the six months ended June 30, 2024 and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unrecognized compensation expense related to restricted shares amounted to $371, which will be recognized over a weighted-average period of 0.19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2020 Plan was carried out in the way that eligible employees indirectly hold shares of Shanghai Shengda by holding shares of Jingning Shengjing Enterprise Management Partnership (Limited Partnership) (“Shareholding Platform”) as the general partner and limited partner of the Shareholding Platform.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non-controlling interests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Suncar Online acquired 0.6% of equity interest of Shengda Automobile from non-controlling shareholders at the consideration of $2,214. After the acquisition, Suncar online owned 84.6% of Shengda Automobile. The Group derecognized non-controlling interest of $1,294, and the difference between the purchase price and the carrying amount of the proportional net assets that acquired from non-controlling shareholders was charged against additional paid-in capital, which was $920.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ordinary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2025, the Group entered into an underwriting agreement with BTIG, LLC as the representative of the underwriters named therein, to issue and sell 7,142,858 Class A ordinary shares for total expected gross proceeds of approximately $50 million before underwriting discounts and commissions and offering expenses. The issuance was completed on February 7, 2025, the proceeds from issuance of ordinary shares, net of offering costs, amounted to approximately $41.6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 from public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7, 2025, the Group announced that its board of directors has authorized a share repurchase program (the “Share Repurchase Program”) to buy back up to $30 million of its outstanding Class A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repurchase activity under the Share Repurchase Program from inception through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Class A</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 per</w:t>
            </w:r>
          </w:p>
        </w:tc>
      </w:t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A</w:t>
            </w:r>
          </w:p>
        </w:tc>
      </w:t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45"/>
        </w:trPr>
        <w:tc>
          <w:tcPr>
            <w:tcW w:w="35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share</w:t>
            </w:r>
          </w:p>
        </w:tc>
      </w:tr>
      <w:tr>
        <w:trPr>
          <w:trHeight w:val="194"/>
        </w:trPr>
        <w:tc>
          <w:tcPr>
            <w:tcW w:w="3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Periods</w:t>
            </w:r>
          </w:p>
        </w:tc>
        <w:tc>
          <w:tcPr>
            <w:tcW w:w="5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2025:</w:t>
            </w:r>
          </w:p>
        </w:tc>
        <w:tc>
          <w:tcPr>
            <w:tcW w:w="5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6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1,644,809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2025:</w:t>
            </w:r>
          </w:p>
        </w:tc>
        <w:tc>
          <w:tcPr>
            <w:tcW w:w="5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6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April 2025:</w:t>
            </w:r>
          </w:p>
        </w:tc>
        <w:tc>
          <w:tcPr>
            <w:tcW w:w="5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6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586,036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5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5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358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5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3,438,557</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 Additionally, upon payments of dividends to the shareholders, no Cayman Islands withholding tax will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Tax (Amendment) (No. 3) Ordinance 2018 published by Hong Kong government, form April 1, 2018, under the two-tiered profits tax rates regime, the profits tax rate for the first HKD 2 million of assessable profits will be lowered to 8.25% (half of the rate specified in Schedule 8 to the Inland Revenue Ordinance (IRO)) for corporations. China Auto Market was not subject to Hong Kong profit tax for any period presented as it did not have assessable profit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the Group’s subsidiaries, which are considered PRC resident enterprises under PRC tax law, are subject to enterprise income tax (“EIT”) on their worldwide taxable income as determined under PRC tax laws and accounting standards at a rate of 25%. EIT grants preferential tax treatment to High and New Technology Enterprises (“HNTEs”) at a rate of 15%, subject to a requirement that they re-apply for HNTE status every three years. The Group’s subsidiaries, Shengda Automobile and Shanghai Chengle Network Technology Co., Ltd. were approved as a HNTE and is entitled to a reduced income tax rate of 15% beginning November 2018 and renewing the HNTE in December 2021 and December 2024. The certificate is valid for three years.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consisted of the following components: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80" w:type="dxa"/>
            <w:vAlign w:val="bottom"/>
            <w:tcBorders>
              <w:bottom w:val="single" w:sz="8" w:color="CCEEFF"/>
            </w:tcBorders>
          </w:tcPr>
          <w:p>
            <w:pPr>
              <w:spacing w:after="0"/>
              <w:rPr>
                <w:sz w:val="21"/>
                <w:szCs w:val="21"/>
                <w:color w:val="auto"/>
              </w:rPr>
            </w:pPr>
          </w:p>
        </w:tc>
        <w:tc>
          <w:tcPr>
            <w:tcW w:w="49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4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51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Group’s actual benefit for income taxes and the provision at the PRC, mainland statutory rate is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4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Computed income tax benefit with statutory tax rate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deduction for research and development expenses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preferred tax rate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favorable tax rates on small-scale and low-profit entities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non-deductible items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expired tax attribute carryforwards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7"/>
        </w:trPr>
        <w:tc>
          <w:tcPr>
            <w:tcW w:w="5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vMerge w:val="continue"/>
            <w:shd w:val="clear" w:color="auto" w:fill="CCEEFF"/>
          </w:tcPr>
          <w:p>
            <w:pPr>
              <w:spacing w:after="0"/>
              <w:rPr>
                <w:sz w:val="21"/>
                <w:szCs w:val="21"/>
                <w:color w:val="auto"/>
              </w:rPr>
            </w:pPr>
          </w:p>
        </w:tc>
        <w:tc>
          <w:tcPr>
            <w:tcW w:w="36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2024 and June 30, 2025, the significant components of the deferred tax assets are summarized below:</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 in accounts receivable recognition</w:t>
            </w:r>
          </w:p>
        </w:tc>
        <w:tc>
          <w:tcPr>
            <w:tcW w:w="36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 in research and development costs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(14,934)</w:t>
            </w:r>
          </w:p>
        </w:tc>
        <w:tc>
          <w:tcPr>
            <w:tcW w:w="0" w:type="dxa"/>
            <w:vAlign w:val="bottom"/>
          </w:tcPr>
          <w:p>
            <w:pPr>
              <w:spacing w:after="0"/>
              <w:rPr>
                <w:sz w:val="1"/>
                <w:szCs w:val="1"/>
                <w:color w:val="auto"/>
              </w:rPr>
            </w:pPr>
          </w:p>
        </w:tc>
      </w:tr>
      <w:tr>
        <w:trPr>
          <w:trHeight w:val="27"/>
        </w:trPr>
        <w:tc>
          <w:tcPr>
            <w:tcW w:w="5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vMerge w:val="continue"/>
            <w:shd w:val="clear" w:color="auto" w:fill="CCEEFF"/>
          </w:tcPr>
          <w:p>
            <w:pPr>
              <w:spacing w:after="0"/>
              <w:rPr>
                <w:sz w:val="21"/>
                <w:szCs w:val="21"/>
                <w:color w:val="auto"/>
              </w:rPr>
            </w:pPr>
          </w:p>
        </w:tc>
        <w:tc>
          <w:tcPr>
            <w:tcW w:w="36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1"/>
        </w:trPr>
        <w:tc>
          <w:tcPr>
            <w:tcW w:w="52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3033"/>
              <w:spacing w:after="0"/>
              <w:rPr>
                <w:sz w:val="20"/>
                <w:szCs w:val="20"/>
                <w:color w:val="auto"/>
              </w:rPr>
            </w:pPr>
            <w:r>
              <w:rPr>
                <w:rFonts w:ascii="Times New Roman" w:cs="Times New Roman" w:eastAsia="Times New Roman" w:hAnsi="Times New Roman"/>
                <w:sz w:val="18"/>
                <w:szCs w:val="18"/>
                <w:color w:val="auto"/>
              </w:rPr>
              <w:t>F-26</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 are as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and June 30, 2025, the Group had net operating loss carryforwards of approximately $48,347 and $49,565, respectively, which arose from the Group’s subsidiaries in the PRC. As of December 31, 2024 and June 30, 2025, the Group had net operating loss carryforwards of approximately $82,600 and $87,661, respectively, which arose from the Parent Company and the Group’s non-PRC subsidiaries. As of December 31, 2024 and June 30, 2025, deferred tax assets from the net operating loss carryforwards amounted to $11,325 and $11,707, respectively, and the Group has recorded valuation allowances of $13,840 and $14,934 as of December 31, 2024 and June 30, 2025, respectively. Full valuation allowances have been provided where, based on all available evidence, management determined that deferred tax assets are not more likely than not to be realizable in future tax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net operating loss carryforwards will expire, if unused, in the following amounts: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Infinite</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87,661</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10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share computation and provides a reconciliation of the numerator and denominator for the periods presented:</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the Company’s ordinary shareholders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(62,583)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net loss per share calculation</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93,663,300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102,155,588</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 ordinary shareholders per ordinary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655"/>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2025, warrants were anti-dilutive and thus excluded from the calculation of diluted loss per share. The potential dilutive securities that were not included in the calculation of dilutive loss per share in six months ended June 30, 2024 and 2025 were 1,600,000 and 1,600,000,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 as of December 31, 2024 and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Shengda Group</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entity ultimately controlled by Mr. Ye Zaichang, the Company’s Chief</w:t>
            </w:r>
          </w:p>
        </w:tc>
      </w:tr>
      <w:tr>
        <w:trPr>
          <w:trHeight w:val="234"/>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Mr. Lei Zhunfu</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Chief Operating Officer of the Company</w:t>
            </w: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Balances with related parties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due to related parties, current</w:t>
      </w:r>
    </w:p>
    <w:p>
      <w:pPr>
        <w:spacing w:after="0" w:line="205" w:lineRule="auto"/>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Shengda Group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Lei Zhunfu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due to a related party,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2" w:lineRule="auto"/>
        <w:rPr>
          <w:sz w:val="20"/>
          <w:szCs w:val="20"/>
          <w:color w:val="auto"/>
        </w:rPr>
      </w:pPr>
      <w:r>
        <w:rPr>
          <w:rFonts w:ascii="Times New Roman" w:cs="Times New Roman" w:eastAsia="Times New Roman" w:hAnsi="Times New Roman"/>
          <w:sz w:val="17"/>
          <w:szCs w:val="17"/>
          <w:color w:val="auto"/>
        </w:rPr>
        <w:t xml:space="preserve">Payables due to the transfer of SunCar Online </w:t>
      </w:r>
      <w:r>
        <w:rPr>
          <w:rFonts w:ascii="Times New Roman" w:cs="Times New Roman" w:eastAsia="Times New Roman" w:hAnsi="Times New Roman"/>
          <w:sz w:val="28"/>
          <w:szCs w:val="28"/>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Shengda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684"/>
        </w:trPr>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r>
      <w:tr>
        <w:trPr>
          <w:trHeight w:val="234"/>
        </w:trPr>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702"/>
        </w:trPr>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were for the ordinary course of operation, which were interest free, unsecure and could be settled on demand.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2021, Shengda Group transferred all of its equity interest, which was 55.09% as of the transfer date, of SunCar Online to Shanghai Feiyou, at price RMB4 per share, totaling RMB282 million. Upon completion of the transfer, Feiyou is liable to Shengda Group RMB282 million for the transfer of SunCar Online. As a result of the disposal of Shengda Group, Shengda Group became the related party of the Group, and the balance due to Shengda Group was presented as amount due to a related party. On March 1, 2022, the Group entered into a share purchase agreement (the “SPA”) with an affiliate of Mr. Ye to transfer the total equity of Shengda Group with the consideration of RMB 1. Pursuant to the SPA, the Group agreed to repay the debt owed to Shengda Group by full before June 1, 2023.</w:t>
      </w:r>
    </w:p>
    <w:p>
      <w:pPr>
        <w:spacing w:after="0" w:line="187"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Group negotiated with Shengda Group and consented to have an extension of payment to extend the repayment date to December 31, 2025, with annual interest rate of 1% from June 1, 2023 to December 31, 2025. In January, 2025, the Group negotiated with Shengda Group and consented to have an extension of payment to extend the repayment date to December 31, 2028. Therefore, the Group reclassified the balance to non-current portion after the extension.</w:t>
      </w:r>
    </w:p>
    <w:p>
      <w:pPr>
        <w:spacing w:after="0" w:line="1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Group repaid the debt owed to Shengda Group of $10,000.</w:t>
      </w:r>
    </w:p>
    <w:p>
      <w:pPr>
        <w:spacing w:after="0" w:line="22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Group repaid the debt owed to Shengda Group through transfer of shares of SunCar Online at an aggregate amount of $6.2 million. The non-cash gains from the difference of repurchase price and transfer price of $4.5 million were charged to additional-paid-in capital since Shengda Group and the Group were under common control.</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half of 2025, the Group repaid the debt owed to Shengda Group of $9.8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CONCENTRATION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Group’s total revenue.</w:t>
      </w:r>
    </w:p>
    <w:p>
      <w:pPr>
        <w:spacing w:after="0" w:line="22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Group’s total accounts receivable:</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3"/>
        </w:trPr>
        <w:tc>
          <w:tcPr>
            <w:tcW w:w="8600" w:type="dxa"/>
            <w:vAlign w:val="bottom"/>
          </w:tcPr>
          <w:p>
            <w:pPr>
              <w:spacing w:after="0"/>
              <w:rPr>
                <w:sz w:val="24"/>
                <w:szCs w:val="24"/>
                <w:color w:val="auto"/>
              </w:rPr>
            </w:pPr>
          </w:p>
        </w:tc>
        <w:tc>
          <w:tcPr>
            <w:tcW w:w="1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Customer 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each supplier who represent 10% or more of the Group’s total purchase:</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8600" w:type="dxa"/>
            <w:vAlign w:val="bottom"/>
          </w:tcPr>
          <w:p>
            <w:pPr>
              <w:spacing w:after="0"/>
              <w:rPr>
                <w:sz w:val="21"/>
                <w:szCs w:val="21"/>
                <w:color w:val="auto"/>
              </w:rPr>
            </w:pPr>
          </w:p>
        </w:tc>
        <w:tc>
          <w:tcPr>
            <w:tcW w:w="158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86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Supplier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2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 percentage less than 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SUNCAR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of property management fee and short-term lease under the non-cancellable operating lease with respect to the office as of June 30, 2025 are payable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2025, the People’s Court of Songjiang District, Shanghai, issued a judgment to revoke, within the amount of the creditor’s rights confirmed in the civil mediation agreement in favor of the plaintiff, the equity transfer of SunCar Online by the defendant, Zhejiang Shengling Automotive Service Co., Ltd.(also known as Shengda Group), to Shanghai Feiyou, and ordered the restoration of the equity ownership.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Feiyou has filed an appeal against the judgment, and the case has been accepted for second-instance review. As of the issuance date of the consolidated financial statements, the appeal remains pending and the ultimate outcome of the case cannot be reasonably estimated. Considering the amount of the plaintiff’s claim against Shengda Group, Shanghai Feiyou’s shareholding percentage in SunCar Online, and the concerted action arrangements between Shanghai Feiyou and other shareholders, the Group believes that this dispute will not affect Shanghai Feiyou’s effective control over SunCar Online, and is not expected to have a material impact on the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2025, the Red Romance Investment Limited (“Red Romance”) filed a civil lawsuit against the Group. Red Romance alleged that they entered a consulting service contract with the Group for the provision of financing-related services in August 2023, which the Group allegedly breached. Red Romance is seeking payment of consulting fees, damages for breach of contract and associated protection costs. As of the issuance date of these consolidated financial statements, the litigation remains under adjudication. The Group believes that this litigation is not expected to have a material impact on the consolidated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events mentioned, in the opinion of management, there were no other pending or threatened claims and litigation as of June 30, 2025 and through the issuance date of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on purchase of other cloud infrastructure and artificial intelligence platform. Total capital commitment contracted but not yet reflected in the consolidated financial statements as of June 30, 2025 was $36,337, of which $18,888 was expected to be paid within 1 year and $17,449 was expected to be paid more than 1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impact of events that have occurred subsequent to June 30, 2025, through the issuance date, October 27, 2025, of the consolidated financial statements, the Company did not identify any other subsequent events occurred that would require recognition in the consolidated financial statements or disclosure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consolidated financial statements and the related notes included elsewhere in Form 6-K.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the Form 20-F for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cloud and mobile app-based auto eInsurance services, technology services, and auto services in China. We generate revenue from selling our auto eInsurance services, technology services, and auto services.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our auto eInsurance business, we facilitate the sale of auto insurance products underwritten by major insurance companies in China. We receive commissions from these insurance companies which are typically a percentage of the premium paid by the policy holder. We implement, automate, and streamline the insurance purchasing process through our proprietary cloud and mobile apps which connect our customers to the full spectrum of products from the leading insurers in China. The auto insurance premiums for EVs increased from US$330.2 million for the six months ended June 30, 2024 to US$697.6 million for the six months ended June 30, 2025, representing a year-over-year growth of 111.3%. Therefore, the revenue from EV insurance services amounted to US$31.5 million for the six months ended June 30, 2025, as compared to US$14.6 million for the six months ended June 30, 2024, representing a significant increase of 115.8%.</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our technology services business by providing technical software and consulting related to auto eInsurance and auto services. We have built modular software tools such as customer relationship management (CRM), order management, finance management, and visual analysis systems, which run on our proprietary hybrid cloud platform. Our insurance sales partners and auto services providers use all or some of these online tools to manage their daily work, allowing them the opportunity to monetize the software we have built.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our auto service business by offering customized auto services to our enterprise customers (our “auto service partners”), who include major banks, insurance companies, and other enterprises all of whom have end customer demands for auto services. These auto services include necessary maintenance as well as regular detailing services. Our auto services are ultimately provided to the end-consumers of our enterprise customers by the auto service providers we select to be suppliers on our service network.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Factors Impacting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Relationships with Customers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auto eInsurance business, we distribute auto insurance products on behalf of well-known insurance companies in China. For the auto service business, our customers are enterprises mainly consisting of banks, insurance companies, telecom companies, airlines and other large corporations. It is critical for us to maintain good relationships and obtain recognition from both our enterprise customers and their end customers. We need to keep growing our business, building our brand influence, and improving the quality of service to attract new customers, solidify relationships with existing customers, and deliver a satisfactory service experience to the end-consumer. Positive feedback from the end-consumer encourages our customers to deepen their business relations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with Service Providers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auto eInsurance business, we collaborate with a variety of external referral sources to expand our market penetration and broaden our customer base. We have built up a network of external sales partners, including offline after-sales networks who have frequent exposure to car owners, major online platforms with significant user traffic, and emerging EV OEMs and service providers. Our strong relationships with external referral sources are crucial for us to attract end customers for our auto eInsurance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auto service business, we rely on auto service providers to deliver a variety of auto-related services to the end customers of our enterprise customers. Positive feedback from end customers is dependent on the quality of service provided by our service providers. If our relationships with our service providers deteriorate, our business, financial condition, and results of operations may be materially and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Efficiency of our Business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expect our operating costs and expenses to increase as our business grows, we also expect them to decrease as a percentage of revenues as we improve our operating efficiency and achieve greater economies of scale.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synergies between our auto eInsurance and auto service businesses enable the symbiotic growth of both segments. As we continue to develop our nationwide automotive service provider network, these service providers become sales partners in our auto eInsurance business. Conversely, when we engage with insurance companies to sell their insurance products, we also engage them as customers of our auto service.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built on a multi-tenant cloud platform which we have continued to integrate in both our customers systems as well as our service and sales networks. We are in the process of adding AI intelligence and digital processes to all our internal workflows as well as to the related business processes of our partners, empowering them with efficient and user-friendly tools and systems. We continue to deploy cutting-edge technology including AI, big data, and Robotics Process Automation (“RPA”), to iteratively upgrade our platform with new features and better performance.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our Annual Report for the year ended December 31, 2024, we established the Anji AI Technology Service Center (“ATSC”) to leverage DeepSeek AI capabilities to help our partners sell new policies, policy renewals, and extended warranties. In the first half of 2025, we have seen promising early results from these AI initiatives, with improved customer engagement metrics and enhanced cross-selling capabilities across our product portfolio. We believe our AI-driven strategy will continue to be a key differentiator across our business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auto eInsurance business, like all insurance-related businesses in China, is extensively regulated by the China Banking and Insurance Regulatory Commission (“CBIRC”), and subject to regulations including but not limited to PRC Insurance Law and Regulatory Provisions on Professional Insurance Agencies. Aspects of our auto eInsurance business which are regulated include terms and premium rates of the insurance products we distribute for major insurance companies, the commission rates we earn, as well as the way we operate our auto eInsurance business in general. Regulations or administrative measures further restricting or reducing insurance premiums or insurance agency commissions could have material adverse impacts on the revenue and profitability of our auto eInsurance business. This is particularly the case if we are not able to increase our policy volume and sales efficiency to compensate for the effect of such regulatory changes or pass on any downward impact on our revenue to external participants in the insurance supply chain.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Global Inflationary Pressures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two types of possible inflationary pressure: a general pressure from an inflation-related economic slowdown, and a specific pressure from inflation on the price of fuel. First, we consider the impact of inflation on the business is immaterial as the operations are in China and China’s inflation rates have been relatively stable in the last three and a half years: approximately 2.0%, 0.2% and 0.2% for the years ended December 31, 2022, 2023 and 2024, respectively and negative 0.1% for the six months ended June 30, 2025. Second, since the 2022 inflation episode was triggered by the conflict in Ukraine and the resulting increase in fossil fuel prices, it specifically impacts the automobile industry which still primarily relies on fossil fuel to power vehicles. Thus, with increasing fuel price, people may drive less and fewer people may choose to buy cars. As such, automotive-related industries, including insurance, technology services, and auto service industries, where we operate, would also be adversely impacted. However, we anticipate the pressure to be limited, since we have been working with car manufacturers directly and indirectly require the insurance companies to develop insurance products designed for EVs. We believe that, as EVs become increasingly popular, insurance for EVs can effectively increase our revenues and offset the adverse impact brought by the increased fuel prices.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unaudited condensed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historical data and other assumptions that we believe are reasonable after taking account of our circumstances and expectations for the future based on available information. We evaluate these estimates and assumptions on an ongoing basis.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unaudited condensed consolidated financial statements are described below, which should be read in conjunction with our unaudited condensed consolidated financial statements and accompanying notes and other disclosures included elsewhere in this report of foreign private issuer on Form 6-K. When reviewing our financial statements, you should consider:</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estimates to be critical if: (i) the accounting estimates requires us to make assumptions about matters that were highly uncertain at the time the accounting estimate was made, and (ii) changes in the estimates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revenue recognition; (ii) allowance for credit losses; (iii) valuation allowances of deferred tax assets; and (iv) useful lives of software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are mainly generated from providing auto eInsurance services, technology services, and auto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eInsurance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provide auto eInsurance distributing automobile insurance on behalf of the insurance companies and charging insurance companies intermediation service commissions. The commissions are determined as a percentage of premiums paid by the insured. Auto eInsurance services are considered to be rendered and completed, and revenue is recognized, at the time an insurance policy becomes effective, that is, when the signed insurance policy is in place and the premium has been collected from the insured. We have satisfied the performance obligation to recognize revenue when the premiums are collected by the respective insurance companies and not before, because collectability is not ensured until receipt of the premium. Accordingly, we do not accrue any auto eInsurance service commissions or fees prior to the receipt of the related premiums. No allowance for policy cancellations has been provided for intermediation services as cancellation of policies rarely occurs.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Technology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technology services including technical software and consulting related to automobile services and insurance, such as customer relationship management (CRM), order management, finance management and visual analysis systems. We charge service fees based on monthly fixed price contracts for services provided, and recognize revenue over time during the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Services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enterprise customers as our customers and we sell auto service coupons to enterprise customers, where each coupon represents one specific auto service. There are various service types including vehicle washing, waxing, maintenance, transportation services and roadside assistance. We only provide one specific service among various service types for each specific service coupon. We identify each specific service coupon as a contract that establishes enforceable rights and obligations for each party. We charge the service fee at a fixed price per service when the service is performed. For service coupons with limited duration, we either charge the service fee at a fixed price per service when the service is performed or when the coupon expires, whether or not the service has been performed. We consider each service coupon to be a distinct service that is capable of providing a benefit to the customer on its own according to ASC 606-10-25-14(a). Therefore, we identify only one performance obligation under a contract, which is to provide a specific service or to stand ready to perform a specific service within a limited duration. We act as a principal as we control access to the services before the services are provided to customers and we have the ability to direct other parties to provide the services to customers on our behalf. Specifically, we have the ability to choose service providers, and are primarily responsible for the acceptability for the service meeting customer specifications, bears inventory risk after transfer of control of services to customers, and has the discretion in establishing the price with customers and with service providers and bears credit risk. We recognize revenue in the gross amount of consideration at a point of time when the service is provided, or when the service coupon expires. We do not provide refunds to the customers when a coupon is expired but not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net are stated at the original amounts less allowances for credit losses. Accounts receivable are recognized in the period when we have provided services to our customers and when our right to consideration is unconditional. We adopted ASC Topic 326, Financial Instruments-Credit Losses (Topic 326) from January 1, 2023 using modified-retrospective transition approach with a cumulative-effect adjustment to shareholders’ equity amounting to US$0.5 million recognized as of January 1, 2023. We assess collectability by reviewing accounts receivable on a collective basis where similar characteristics exist, primarily based on similar business lines,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2025, we recognized credit losses of US$2.7 million and US$6.3 million, respectively. A 10% increase in our credit losses provision would have increased our loss before income tax by 0.4% and 12.0% for the six months ended June 30, 2024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of Deferred Tax Assets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We consider positive and negative evidence when determining whether a portion or all of our deferred tax assets will more likely than not be realized. This assessment considers, among other matters, the nature, frequency and severity of current and cumulative losses, forecasts of future profitability, the duration of statutory carry-forward periods, our experience with tax attributes expiring unused, and our tax planning strategies. The ultimate realization of deferred tax assets is dependent upon our ability to generate sufficient future taxable income within the carry-forward periods provided for in the tax law and during the periods in which the temporary differences become deductible. When assessing the realization of deferred tax assets, we have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2025, we reduced the valuation allowance of deferred tax assets of US$0.5 million and recognized the valuation allowance of US$0.8 million, respectively. A 10% increase in our valuation allowance of deferred tax assets would have decreased net losses by 0.1% and increased net losses by 1.5% for the six months ended June 30, 2024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Useful Lives of Property, Software and Equipment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estimated useful lives of the property, software and equipment are based on the management’s best estimation, which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6"/>
        </w:trPr>
        <w:tc>
          <w:tcPr>
            <w:tcW w:w="7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4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10 years</w:t>
            </w:r>
          </w:p>
        </w:tc>
      </w:tr>
      <w:tr>
        <w:trPr>
          <w:trHeight w:val="198"/>
        </w:trPr>
        <w:tc>
          <w:tcPr>
            <w:tcW w:w="7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40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Over the shorter of the lease term or the</w:t>
            </w:r>
          </w:p>
        </w:tc>
      </w:tr>
      <w:tr>
        <w:trPr>
          <w:trHeight w:val="234"/>
        </w:trPr>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estimated useful lives of the assets</w:t>
            </w:r>
          </w:p>
        </w:tc>
      </w:tr>
      <w:tr>
        <w:trPr>
          <w:trHeight w:val="432"/>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are derived from auto eInsurance service, technology service and auto service. The following table sets forth the breakdown of our total revenues, both in absolute amount and as a percentage of our total revenues, for the periods indicated.</w:t>
      </w:r>
    </w:p>
    <w:p>
      <w:pPr>
        <w:spacing w:after="0" w:line="15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6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73,747</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97,833</w:t>
            </w: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3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21,888</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24,345</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100,131</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203,086</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222,309</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Auto eInsurance Service. </w:t>
      </w:r>
      <w:r>
        <w:rPr>
          <w:rFonts w:ascii="Times New Roman" w:cs="Times New Roman" w:eastAsia="Times New Roman" w:hAnsi="Times New Roman"/>
          <w:sz w:val="18"/>
          <w:szCs w:val="18"/>
          <w:color w:val="auto"/>
        </w:rPr>
        <w:t>We provide auto eInsurance service distributing automobile insurance products on behalf of insurance companies. Auto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eInsurance services are considered to be rendered and completed and revenue is recognized at the time an insurance policy becomes effective, i.e. when the signed insurance policy is in place and the premium is collected from the insured. We recognize revenue when the premiums are collected by the respective insurance companies, because collectability is not ensured until receipt of the premium. Accordingly, we do not accrue any commission and fees prior to the receipt of the relevant premiums.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Technology Service. </w:t>
      </w:r>
      <w:r>
        <w:rPr>
          <w:rFonts w:ascii="Times New Roman" w:cs="Times New Roman" w:eastAsia="Times New Roman" w:hAnsi="Times New Roman"/>
          <w:sz w:val="18"/>
          <w:szCs w:val="18"/>
          <w:color w:val="auto"/>
        </w:rPr>
        <w:t>We operate our technology service business by providing technical software and consulting related to automobile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including modular management tools such as customer relationship management, order management, finance management and visual analysis systems. For the use of our technology services, we charge technology service fees based on fixed prices per service period (usually one month) for service provided, and recognize revenue over time during the service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Auto Service. </w:t>
      </w:r>
      <w:r>
        <w:rPr>
          <w:rFonts w:ascii="Times New Roman" w:cs="Times New Roman" w:eastAsia="Times New Roman" w:hAnsi="Times New Roman"/>
          <w:sz w:val="18"/>
          <w:szCs w:val="18"/>
          <w:color w:val="auto"/>
        </w:rPr>
        <w:t>We provide customized auto service to enterprises, who ultimately offer them to their end customers. These services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maintenance as well as regular services such as car wash, oil change, tire repair, car beautification, road assistance, flight pickup, designated driving, VIP lounge, etc. We charge a service fee either based on the number of service items completed at a fixed price per item, or, charge for service coupons with a limited duration term, whether or not the services have been performed. We act as the principal supplier and control the access to the services before providing them to end customers. Therefore, we recognize revenue in the gross amount of consideration at the point of time when the service is provided, or when the service coupons with limited duration term have expired.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costs and expenses, both in absolute amounts and as a percentage of total revenues, for the periods indicated.</w:t>
      </w:r>
    </w:p>
    <w:p>
      <w:pPr>
        <w:spacing w:after="0" w:line="15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9"/>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107,621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101,464</w:t>
            </w: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71,135</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94,072</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11,012</w:t>
            </w: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40,537</w:t>
            </w:r>
          </w:p>
        </w:tc>
        <w:tc>
          <w:tcPr>
            <w:tcW w:w="4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15,188</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261,697</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223,502</w:t>
            </w:r>
          </w:p>
        </w:tc>
        <w:tc>
          <w:tcPr>
            <w:tcW w:w="2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service cost. </w:t>
      </w:r>
      <w:r>
        <w:rPr>
          <w:rFonts w:ascii="Times New Roman" w:cs="Times New Roman" w:eastAsia="Times New Roman" w:hAnsi="Times New Roman"/>
          <w:sz w:val="18"/>
          <w:szCs w:val="18"/>
          <w:color w:val="auto"/>
        </w:rPr>
        <w:t>The integrated service cost primarily consists of (i) service fees paid to suppliers engaged to provide technical support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technology service; and (ii) service fees paid to auto service providers to provide customized service for end customers of its enterprise customers. The service fee is determined based on and recognized in the period of the actual services rendered.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Promotional Service Expenses. </w:t>
      </w:r>
      <w:r>
        <w:rPr>
          <w:rFonts w:ascii="Times New Roman" w:cs="Times New Roman" w:eastAsia="Times New Roman" w:hAnsi="Times New Roman"/>
          <w:sz w:val="18"/>
          <w:szCs w:val="18"/>
          <w:color w:val="auto"/>
        </w:rPr>
        <w:t>Promotional service expenses represent (i) promotional service fees to expand extensive networks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 eInsurance sales partners; and (ii) service fees we pay to promotion channels, including but not limited to offline after-sales networks, online platforms, and emerging EV OEMs and service providers. Promotional service expenses are recognized in the period incurred.</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Selling expenses primarily consist of (i) IT service fee for technology service; (ii) salaries and employment benefits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work in the service lines; (iii) promotional service fees; (iv) communication and travel expenses, and (v) depreciation expenses related to sales. Depreciation expenses are calculated on a straight-line basis over the estimated useful lives of the assets.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primarily consist of (i) staff costs, rental and depreciation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general and administrative personnel; (ii) share-based compensation expenses; and (iii) other corporate expenses.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primarily consist of payroll and employee benefits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employees, rental expenses, utilities, and other related expenses to design, develop, and maintain the technology service platform and to support its internal and external customers, and for share-based compensation expenses.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2025 compared with Six Months Ended June 30, 2024</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unaudited condensed consolidated results of operations for the periods indicated. This information should be read together with unaudited condensed consolidated financial statements and related notes included elsewhere in this report. The operating results in any period are not necessarily indicative of the results that may be expected for any future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eInsurance 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73,747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24,086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21,888</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service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107,451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100,131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(7,320)</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203,086</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222,309</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19,223</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service cost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(107,621)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(101,464)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Promotional service expenses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(71,135)</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(94,072)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(22,937)</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(10,199)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(40,537)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(15,188)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25,349</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(32,205)</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30,439</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(261,697)</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(223,502)</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38,195</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(58,611)</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57,418</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(2,954)</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(1,262)</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(4,051)</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(2,789)</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(59,873)</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54,629</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(60,140)</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(5,535)</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54,605</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(1,195)</w:t>
            </w: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2,243</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(61,335</w:t>
            </w:r>
          </w:p>
        </w:tc>
        <w:tc>
          <w:tcPr>
            <w:tcW w:w="2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(4,487</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56,848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revenue increased by 9% from US$203.1 million for the six months ended June 30, 2024 to US$222.3 million for the six months ended June 30, 2025.</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Auto eInsurance service. </w:t>
      </w:r>
      <w:r>
        <w:rPr>
          <w:rFonts w:ascii="Times New Roman" w:cs="Times New Roman" w:eastAsia="Times New Roman" w:hAnsi="Times New Roman"/>
          <w:sz w:val="18"/>
          <w:szCs w:val="18"/>
          <w:color w:val="auto"/>
        </w:rPr>
        <w:t>Auto eInsurance service revenue increased by 33% from US$73.7 million for the six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US$97.8 million for the six months ended June 30, 2025, which was driven by the increasing number of insurance policies sold for the six months ended June 30, 2025. EV sales have been increasing sharply in recent years, and thus, the revenue of our auto eInsurance business has been rising rapidly. The revenue from EV insurance services amounted to US$31.5 million for the six months ended June 30, 2025, as compared to US$14.6 million for the six months ended June 30, 2024, representing a significant increase of 115.8%.</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service. </w:t>
      </w:r>
      <w:r>
        <w:rPr>
          <w:rFonts w:ascii="Times New Roman" w:cs="Times New Roman" w:eastAsia="Times New Roman" w:hAnsi="Times New Roman"/>
          <w:sz w:val="18"/>
          <w:szCs w:val="18"/>
          <w:color w:val="auto"/>
        </w:rPr>
        <w:t>Technology service revenue increased by 11% from US$21.9 million for the six months ended June 30, 2024 to US$24.3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2025. With growing demands to efficiently manage their businesses, more enterprise customers are now paying for our online tools to streamline their business workflows, manage their customer relationships and automate orders processing. With the iterative upgrades of our technology, we are working on developing a SaaS model product offering and plan to gradually turn our enterprise customers into our technology service customers. Through the application of our Private Cloud Platform, our development process was simplified, and we can easily integrate various tools for software development, testing, operations and maintenance. This has strengthened our software platform and increased its business capacity to better serve the customers’ needs.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Auto service. </w:t>
      </w:r>
      <w:r>
        <w:rPr>
          <w:rFonts w:ascii="Times New Roman" w:cs="Times New Roman" w:eastAsia="Times New Roman" w:hAnsi="Times New Roman"/>
          <w:sz w:val="18"/>
          <w:szCs w:val="18"/>
          <w:color w:val="auto"/>
        </w:rPr>
        <w:t>Auto service revenue decreased by 7% from US$107.5 million for the six months ended June 31, 2024 to US$100.1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The decrease was driven by our deliberate decision to discontinue certain low-margin businesses in the first half of 2025 and the accompanying decrease of service orders.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decreased by 15% from US$261.7 million for the six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US$223.5 million for the six months ended June 30, 2025, which is mainly caused by the reduction of share-based compensation of US$62.0 million happened in 2024.</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Integrated service cost. </w:t>
      </w:r>
      <w:r>
        <w:rPr>
          <w:rFonts w:ascii="Times New Roman" w:cs="Times New Roman" w:eastAsia="Times New Roman" w:hAnsi="Times New Roman"/>
          <w:sz w:val="18"/>
          <w:szCs w:val="18"/>
          <w:color w:val="auto"/>
        </w:rPr>
        <w:t>Integrated service cost decreased by 6% from US$107.6 million for the six months ended June 30, 2024 to US$101.5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2025. The decrease of integrated service costs was in line with the decrease of revenue in auto service revenue.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Promotional service expenses</w:t>
      </w:r>
      <w:r>
        <w:rPr>
          <w:rFonts w:ascii="Times New Roman" w:cs="Times New Roman" w:eastAsia="Times New Roman" w:hAnsi="Times New Roman"/>
          <w:sz w:val="18"/>
          <w:szCs w:val="18"/>
          <w:color w:val="auto"/>
        </w:rPr>
        <w:t>. Promotional service expenses increased by 32% from US$71.1 million for the six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US$94.1 million for the six months ended June 30, 2025. The increase in promotional service expenses was in line with the increase of revenue in our auto eInsurance service.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Selling expenses increased by 8% from US$10.2 million for the six months ended June 30, 2024 to US$11.0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The increase was primarily due to higher promotion expenses of US$0.6 million for our IT services, supporting the growth of technology service revenue, and an additional US$0.2 million related to market expansion.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63% from US$40.5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2024 to US$15.2 million for the six months ended June 30, 2025, primarily due to the decrease of US$31.0 million in share-based compensation expense related to </w:t>
      </w:r>
      <w:r>
        <w:rPr>
          <w:rFonts w:ascii="Times New Roman" w:cs="Times New Roman" w:eastAsia="Times New Roman" w:hAnsi="Times New Roman"/>
          <w:sz w:val="18"/>
          <w:szCs w:val="18"/>
          <w:i w:val="1"/>
          <w:iCs w:val="1"/>
          <w:color w:val="auto"/>
        </w:rPr>
        <w:t>2024 Equity Incentive Plan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95% from US$32.2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30, 2024 to US$1.8 million for the six months ended June 30, 2025, primarily due to decrease of US$31.0 million in relation to </w:t>
      </w:r>
      <w:r>
        <w:rPr>
          <w:rFonts w:ascii="Times New Roman" w:cs="Times New Roman" w:eastAsia="Times New Roman" w:hAnsi="Times New Roman"/>
          <w:sz w:val="18"/>
          <w:szCs w:val="18"/>
          <w:i w:val="1"/>
          <w:iCs w:val="1"/>
          <w:color w:val="auto"/>
        </w:rPr>
        <w:t>2024 Equity Incentive Plan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and Adjusted EBITDA. </w:t>
      </w:r>
      <w:r>
        <w:rPr>
          <w:rFonts w:ascii="Times New Roman" w:cs="Times New Roman" w:eastAsia="Times New Roman" w:hAnsi="Times New Roman"/>
          <w:sz w:val="18"/>
          <w:szCs w:val="18"/>
          <w:color w:val="auto"/>
        </w:rPr>
        <w:t>Net loss decreased by US$54.6 million, to US$5.5 million for the six months ended June 30, 2025.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decreased by US$3.5 million, to US$2.5 million for the six months ended June 30, 2025. See our reconciliation of net loss to Adjusted EBITDA within the section titled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our results being determined in accordance with GAAP, the Company’s management believes that Adjusted EBITDA, which is a non-GAAP measure that excludes certain non-recurring items such as costs and expenses related to capital raises, is useful in evaluating our operational performance. The Company uses this non-GAAP financial information to evaluate our ongoing operations and for internal planning, budgeting and forecasting purposes. We believe that this non-GAAP financial information, when taken collectively with GAAP measures, may be helpful to investors in assessing our operating performance and comparing our performance with competitors and other comparable companies, which may or may not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This non-GAAP measure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as defined below, is useful in evaluating our operational performance distinct and apart from certain expenses that may not be indicative of our recurring core business operating results and non-operational expenses. Adjusted EBITDA is defined as Net loss adjusted for depreciation and amortization, financial expenses, net, investment income, other non-recurring income, net, income tax benefit, share-based compensation and non-recurring expenses related to capital raises.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margin is defined as net loss divided by total revenues, and Adjusted EBITDA Margin is defined as Adjusted EBITDA divided by total revenues.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net loss to Adjusted EBITDA for the six months ended June 30, 2024 and 2025.</w:t>
      </w:r>
    </w:p>
    <w:p>
      <w:pPr>
        <w:spacing w:after="0" w:line="221"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2,302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(income)/expenses,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62,785</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70"/>
        </w:trPr>
        <w:tc>
          <w:tcPr>
            <w:tcW w:w="85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Transaction fees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6,040</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2,542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hanging="345"/>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expense related to compensation costs for equity classified awards by the subsidiary.</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non-recurring transaction related fees and expenses associated with the Company’s capital raises.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we are not subject to tax on income or capital gain. Additionally, upon payments of dividends to the shareholders, no Cayman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subsidiaries incorporated in the BVI are not subject to taxation in the British Virgin Islands.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Tax (Amendment) (No. 3) Ordinance 2018 published by Hong Kong government, form April 1, 2018, under the two-tiered profits tax rates regime, the profits tax rate for the first HKD2 million of assessable profits will be lowered to 8.25% (half of the rate specified in Schedule 8 to the Inland Revenue Ordinance (IRO)) for corporations, and the remaining profits will continue to be taxed at the existing tax rate, 16.5%. No provision for Hong Kong profits tax had been made to China Auto Market Group Ltd., a subsidiary of us, during the six months ended June 30, 2024 and 2025 as it did not have assessable profit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Generally, our subsidiaries, which are considered PRC resident enterprises under PRC tax law, are subject to enterprise income tax on their worldwide taxable income as determined under PRC tax laws and accounting standards at a rate of 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RMB1 million.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 and new technology enterprises enjoy a preferential tax rate of 15% under PRC tax law. Shanghai Chengle Network Technology Co., Limited, one of our subsidiaries, currently qualifies as a “new high-tech enterprise”, and has been entitled to the preferential rate of 15% from 2018 through 2021, and successfully renewed the qualification in December 2021 and December 2024, which would be effective for 3 years. Shengda Automobile, one of our key subsidiaries, qualified as a “new high-tech enterprise” and was entitled to a preferential tax rate of 15% from 2018 through 2021, and successfully renewed the qualification in December 2021 and December 2024, which would be effective for 3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paid by its wholly foreign-owned subsidiaries in China to its intermediary holding companies in Hong Kong will be subject to a withholding tax rate of 10%, unless they qualify for a special exemption. If its intermediary holding companies in Hong Kong satisfy all the requirements under the Arrangement between Mainland China and the Hong Kong Special Administrative Region for the Avoidance of Double Taxation and Tax Evasion on Income and receive approval from the relevant tax authority, then dividends paid to them by its wholly foreign-owned subsidiaries in China will be subject to a withholding tax rate of 5% instead.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its subsidiaries outside of China were deemed to be a “resident enterprise” under the Enterprise Income Tax Law, it would be subject to enterprise income tax on its worldwide income at a rate of 25%.</w:t>
      </w:r>
    </w:p>
    <w:p>
      <w:pPr>
        <w:sectPr>
          <w:pgSz w:w="11900" w:h="16838" w:orient="portrait"/>
          <w:cols w:equalWidth="0" w:num="1">
            <w:col w:w="11240"/>
          </w:cols>
          <w:pgMar w:left="320" w:top="875"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spacing w:after="0"/>
              <w:rPr>
                <w:sz w:val="17"/>
                <w:szCs w:val="17"/>
                <w:color w:val="auto"/>
              </w:rPr>
            </w:pPr>
          </w:p>
        </w:tc>
        <w:tc>
          <w:tcPr>
            <w:tcW w:w="2220" w:type="dxa"/>
            <w:vAlign w:val="bottom"/>
            <w:gridSpan w:val="4"/>
          </w:tcPr>
          <w:p>
            <w:pPr>
              <w:ind w:left="440"/>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gridSpan w:val="2"/>
          </w:tcPr>
          <w:p>
            <w:pPr>
              <w:spacing w:after="0"/>
              <w:rPr>
                <w:sz w:val="17"/>
                <w:szCs w:val="17"/>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(9,256)</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(7,290)</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13,977</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22"/>
                <w:szCs w:val="22"/>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380</w:t>
            </w:r>
          </w:p>
        </w:tc>
      </w:tr>
      <w:tr>
        <w:trPr>
          <w:trHeight w:val="25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4"/>
              </w:rPr>
              <w:t>(9,866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5"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have been cash provided from bank borrowings and revenue generated from business operations. As of June 30, 2025, we had US$24.3 million in cash, and US$2.7 million restricted cash, of which US$21.6 million in cash and US$2.7 million in restricted cash were denominated in Renminbi held at banks located in China, US$2.7 million in cash was denominated in US dollar and HK dollar held at banks located in United States and Hong Kong.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on hand, short-term investments, and cash provided by equity securities will be sufficient to meet the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expenditures, or similar actions. If we determine that the cash requirements exceed the amount of cash on hand, we may seek to issue equity or equity-linked securities or obtain debt financing. The issuance and sale of additional equity would result in further dilution to the shareholders. The incurrence of indebtedness would result in increased fixed obligations and could result in operating covenants that would restrict our operations.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substantially all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US$9.2 million, as compared to net loss of US$5.5 million. The difference between net loss and net cash used in operating activities was primarily attributable to (i) a non-cash adjustment of provision for credit losses of US$6.3 million, depreciation and amortization of US$3.0 million, and accrued liability of GEM litigation of US$2.8 million, (ii) an increase of accounts receivable of US$26.6 million due to the increase of revenue, (iii) an increase of prepaid expenses and other current assets of US$6.1 million due to the increase of advances to suppliers for the expansion of business, (iv) an decrease of accrued expenses and other current liability of US$2.1 million, and partially offset by an increase of accounts payable of US$18.4 million primarily due to the growth of our eInsurance and technology service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US$2.6 million, as compared to net loss of US$60.1 million. The difference between net loss and net cash used in operating activities was primarily attributable to (i) a non-cash adjustment of share-based compensation of US$62.8 million, (ii) an increase of accounts receivable of US$24.7 million due to the increase of sales, (iii) an increase of prepaid expenses and other current assets of US$7.5 million, offset by an increase of accounts payable of US$26.3 million, primarily due to the growth of our auto service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US$7.6 million, primarily consisting of US$5.4 million in non-current assets purchase related to the development of cloud infrastructure and US$2.2 million in the repurchase of non-controlling interests.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US$7.3 million, primarily consisting of US$7.7 million in non-current assets purchase related to the development of cloud infrastructure, and purchase of short-term investment of US$20.6 million, and offset by the proceeds from sale of short-term investment of US$21.3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US$14.0 million, consisting primarily of proceeds of short-term bank borrowings of US$52.1 million and proceeds from issuance of ordinary shares, net of issuance cost of US$41.6 million, and offset by repayments of from short-term bank borrowings of US$54.2 million, repurchase of shares of US$15.8 million and repayments of payables to a related party of US$9.8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our Board of Directors authorized the $30 million share repurchase program reflecting management’s confidence in our long-term growth prospects and commitment to delivering shareholder value. During the first half of 2025, we repurchased 3,438,557 shares at an average price of $4.58 per share for a total of $15.8 million. We believe these repurchases represent an attractive use of capital given our strong growth profile and improving operational metrics.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US$0.2 million, consisting primarily of US$57.0 million from short-term bank borrowings, and offset by repayments of short-term bank borrowings of US$56.8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incurred for the purchase of software and equipment, and the development of our Cloud Platform. Our capital expenditures were US$8.0 million and US$5.4 million, for the six months ended June 30, 2024 and 2025, respectively. We intend to fund our future capital expenditures with our existing cash balance and bank borrowings. We will continue to incur capital expenditures as needed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its shares and classified as shareholder’s equity or that are not reflected in its unaudited condensed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it or engages in leasing, hedging or product development services with 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Within one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6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 years</w:t>
            </w: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payment</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payment of property management fee and short-term lease</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payment</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36,337</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83,059</w:t>
            </w:r>
          </w:p>
        </w:tc>
      </w:tr>
      <w:tr>
        <w:trPr>
          <w:trHeight w:val="637"/>
        </w:trPr>
        <w:tc>
          <w:tcPr>
            <w:tcW w:w="5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rental expenses of US$0.5 million and US$0.5 million for the six months ended June 30, 2024 and 2025, respectively. Other than what is disclosed above, we did not have other significant commitments, long-term obligations, or guarantees as of June 30, 2025.</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have certain capital commitments that are primarily related to commitments for the purchase and installation of a private cloud system. Total capital commitments contracted but not yet reflected in the unaudited condensed consolidated financial statement was US$4.9 million as of June 30, 2025. All of the capital commitments will be fulfilled according to the investment payment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Shengda Automobile Service Group Co., Limited and its subsidiaries (“Shengda Group”) was disposed on March 1, 2022, such disposition has been completed as of that date. In addition, we were liable to Shengda Group of RMB281.8 million (US$40.9 million) for the transfer of SUNCAR Online as of December 31, 2022. Additionally, we were liable to Shengda Group of $4.7 million for the ordinary course of operation, which was interest-free, unsecured, and could be settled on demand. In the share purchase agreement dated March 1, 2022, we agreed to repay the debt owed to Shengda Group by full before June 1, 2023. In April 2023, we negotiated with Jiachen Information Technology (Shanghai) Co., Ltd. (“Jiachen”) and consented to have an extension of payment to extend the repayment due date to December 31, 2025, with an annual interest rate of 1% from June 30, 2023 to the completion of the repayment. In January 2025, we negotiated with Shengda Group and consented to have an extension of payment to extend the repayment date to December 31, 2028.</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2023, we repaid the debt owed to Shengda Group of US$10 million. In the first half of 2024, we repaid the debt owed to Shengda Group through transfer of shares of SunCar Online at an aggregate amount of US$6.2 million. The non-cash gains from the difference of repurchase price and transfer price of US$4.5 million were charged to additional-paid-in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first half of 2025, we repaid the debt owed to Shengda Group of $9.8 million through entering into debt offset agreement with a third party.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payables due to the transfer of SunCar Online was US$13.3 million, and other payables were US$6.2 million to Shengda Group and US$0.3 million to Mr. Lei Zhunfu for the ordinary course of operation, which were interest free, unsecure and could be settled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“Operating Results-Liquidity and Capital Resources”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2025, our research and development expenses were US$32.2 million, and US$1.8 million, respectively. Research and development expenses consist primarily of payroll and employee benefits for research and development, employees, rental expense, utilities, and other related expenses related to designing, developing, and maintaining the technology service platform to support its internal and external customers. We expect spending in research and development to continue to be significant over time as SunCar plans to continue to invest in its technology and innovation to enhance customer experience and provide value to its business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disclosed in this Report, SunCar is not aware of any trends, uncertainties, demands, commitments or events as of June 30, 2025 that are reasonably likely to have a material and adverse effect on its net revenues, income, profitability, liquidity or capital resources, or that would cause the disclosed financial information to be not necessarily indicative of future results of operations or financial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“Operating Results-Critical Accounting Estimates”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SunCar Technology Group Inc.</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2025</w:t>
            </w: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Zaichang Ye</w:t>
            </w:r>
          </w:p>
        </w:tc>
      </w:tr>
      <w:tr>
        <w:trPr>
          <w:trHeight w:val="198"/>
        </w:trPr>
        <w:tc>
          <w:tcPr>
            <w:tcW w:w="3620" w:type="dxa"/>
            <w:vAlign w:val="bottom"/>
          </w:tcPr>
          <w:p>
            <w:pPr>
              <w:spacing w:after="0"/>
              <w:rPr>
                <w:sz w:val="17"/>
                <w:szCs w:val="17"/>
                <w:color w:val="auto"/>
              </w:rPr>
            </w:pPr>
          </w:p>
        </w:tc>
        <w:tc>
          <w:tcPr>
            <w:tcW w:w="370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Zaichang Ye</w:t>
            </w:r>
          </w:p>
        </w:tc>
      </w:tr>
      <w:tr>
        <w:trPr>
          <w:trHeight w:val="216"/>
        </w:trPr>
        <w:tc>
          <w:tcPr>
            <w:tcW w:w="3620" w:type="dxa"/>
            <w:vAlign w:val="bottom"/>
          </w:tcPr>
          <w:p>
            <w:pPr>
              <w:spacing w:after="0"/>
              <w:rPr>
                <w:sz w:val="18"/>
                <w:szCs w:val="18"/>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14</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06"/>
    </w:lvl>
  </w:abstractNum>
  <w:abstractNum w:abstractNumId="1">
    <w:nsid w:val="4DB127F8"/>
    <w:multiLevelType w:val="hybridMultilevel"/>
    <w:lvl w:ilvl="0">
      <w:lvlJc w:val="left"/>
      <w:lvlText w:val="%1"/>
      <w:numFmt w:val="decimal"/>
      <w:start w:val="734"/>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decimal"/>
      <w:start w:val="1"/>
    </w:lvl>
    <w:lvl w:ilvl="1">
      <w:lvlJc w:val="left"/>
      <w:lvlText w:val="(%2)"/>
      <w:numFmt w:val="lowerRoman"/>
      <w:start w:val="1"/>
    </w:lvl>
  </w:abstractNum>
  <w:abstractNum w:abstractNumId="12">
    <w:nsid w:val="41A7C4C9"/>
    <w:multiLevelType w:val="hybridMultilevel"/>
    <w:lvl w:ilvl="0">
      <w:lvlJc w:val="left"/>
      <w:lvlText w:val="%1."/>
      <w:numFmt w:val="decimal"/>
      <w:start w:val="9"/>
    </w:lvl>
    <w:lvl w:ilvl="1">
      <w:lvlJc w:val="left"/>
      <w:lvlText w:val="%2"/>
      <w:numFmt w:val="lowerRoman"/>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2025-10-27T15:37:36Z</dcterms:created>
  <dcterms:modified xsi:type="dcterms:W3CDTF">2025-10-27T15:37:36Z</dcterms:modified>
</cp:coreProperties>
</file>